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0" w:type="dxa"/>
        <w:tblLayout w:type="fixed"/>
        <w:tblLook w:val="0000" w:firstRow="0" w:lastRow="0" w:firstColumn="0" w:lastColumn="0" w:noHBand="0" w:noVBand="0"/>
      </w:tblPr>
      <w:tblGrid>
        <w:gridCol w:w="3510"/>
        <w:gridCol w:w="360"/>
        <w:gridCol w:w="1458"/>
        <w:gridCol w:w="450"/>
        <w:gridCol w:w="5022"/>
      </w:tblGrid>
      <w:tr w:rsidR="00F0261F" w:rsidRPr="00827DDE" w14:paraId="32981801" w14:textId="77777777" w:rsidTr="00F0261F">
        <w:trPr>
          <w:trHeight w:val="504"/>
        </w:trPr>
        <w:tc>
          <w:tcPr>
            <w:tcW w:w="5328" w:type="dxa"/>
            <w:gridSpan w:val="3"/>
            <w:tcBorders>
              <w:bottom w:val="single" w:sz="4" w:space="0" w:color="auto"/>
            </w:tcBorders>
            <w:vAlign w:val="bottom"/>
          </w:tcPr>
          <w:p w14:paraId="76D9E44C" w14:textId="77777777" w:rsidR="00F0261F" w:rsidRPr="00827DDE" w:rsidRDefault="00F0261F" w:rsidP="009F38EE">
            <w:pPr>
              <w:pStyle w:val="AABoxText"/>
            </w:pPr>
            <w:r w:rsidRPr="00827DDE">
              <w:fldChar w:fldCharType="begin">
                <w:ffData>
                  <w:name w:val="text12"/>
                  <w:enabled/>
                  <w:calcOnExit w:val="0"/>
                  <w:textInput/>
                </w:ffData>
              </w:fldChar>
            </w:r>
            <w:r w:rsidRPr="00827DDE">
              <w:instrText xml:space="preserve"> FORMTEXT </w:instrText>
            </w:r>
            <w:r w:rsidRPr="00827DDE">
              <w:fldChar w:fldCharType="separate"/>
            </w:r>
            <w:r w:rsidRPr="00827DDE">
              <w:fldChar w:fldCharType="end"/>
            </w:r>
            <w:r w:rsidRPr="00827DDE">
              <w:fldChar w:fldCharType="begin">
                <w:ffData>
                  <w:name w:val=""/>
                  <w:enabled/>
                  <w:calcOnExit w:val="0"/>
                  <w:textInput/>
                </w:ffData>
              </w:fldChar>
            </w:r>
            <w:r w:rsidRPr="00827DDE">
              <w:instrText xml:space="preserve"> FORMTEXT </w:instrText>
            </w:r>
            <w:r w:rsidRPr="00827DDE">
              <w:fldChar w:fldCharType="separate"/>
            </w:r>
            <w:r w:rsidRPr="00827DDE">
              <w:fldChar w:fldCharType="end"/>
            </w:r>
          </w:p>
        </w:tc>
        <w:tc>
          <w:tcPr>
            <w:tcW w:w="450" w:type="dxa"/>
            <w:vAlign w:val="bottom"/>
          </w:tcPr>
          <w:p w14:paraId="20181D37" w14:textId="77777777" w:rsidR="00F0261F" w:rsidRPr="00827DDE" w:rsidRDefault="00F0261F" w:rsidP="009F38EE"/>
        </w:tc>
        <w:tc>
          <w:tcPr>
            <w:tcW w:w="5022" w:type="dxa"/>
            <w:tcBorders>
              <w:bottom w:val="single" w:sz="4" w:space="0" w:color="auto"/>
            </w:tcBorders>
            <w:vAlign w:val="bottom"/>
          </w:tcPr>
          <w:p w14:paraId="58258625" w14:textId="77777777" w:rsidR="00F0261F" w:rsidRPr="00827DDE" w:rsidRDefault="00F0261F" w:rsidP="009F38EE">
            <w:pPr>
              <w:pStyle w:val="AABoxText"/>
            </w:pPr>
          </w:p>
        </w:tc>
      </w:tr>
      <w:tr w:rsidR="00F0261F" w:rsidRPr="00F0261F" w14:paraId="0CD304BB" w14:textId="77777777" w:rsidTr="00F0261F">
        <w:tc>
          <w:tcPr>
            <w:tcW w:w="5328" w:type="dxa"/>
            <w:gridSpan w:val="3"/>
          </w:tcPr>
          <w:p w14:paraId="0FDD9AAF" w14:textId="77777777" w:rsidR="00F0261F" w:rsidRPr="00F0261F" w:rsidRDefault="00F0261F" w:rsidP="009F38EE">
            <w:pPr>
              <w:pStyle w:val="AABoxTitle"/>
            </w:pPr>
            <w:r w:rsidRPr="00F0261F">
              <w:t>Local Health Department Legal Name</w:t>
            </w:r>
          </w:p>
        </w:tc>
        <w:tc>
          <w:tcPr>
            <w:tcW w:w="450" w:type="dxa"/>
          </w:tcPr>
          <w:p w14:paraId="4383E784" w14:textId="77777777" w:rsidR="00F0261F" w:rsidRPr="00F0261F" w:rsidRDefault="00F0261F" w:rsidP="009F38EE">
            <w:pPr>
              <w:rPr>
                <w:b/>
                <w:bCs/>
                <w:sz w:val="22"/>
              </w:rPr>
            </w:pPr>
          </w:p>
        </w:tc>
        <w:tc>
          <w:tcPr>
            <w:tcW w:w="5022" w:type="dxa"/>
          </w:tcPr>
          <w:p w14:paraId="365598C8" w14:textId="77777777" w:rsidR="00F0261F" w:rsidRPr="00F0261F" w:rsidRDefault="00F0261F" w:rsidP="009F38EE">
            <w:pPr>
              <w:pStyle w:val="AABoxTitle"/>
            </w:pPr>
            <w:r w:rsidRPr="00F0261F">
              <w:t>DPH Section / Branch Name</w:t>
            </w:r>
          </w:p>
        </w:tc>
      </w:tr>
      <w:tr w:rsidR="00F0261F" w:rsidRPr="00827DDE" w14:paraId="7AD831F7" w14:textId="77777777" w:rsidTr="00F0261F">
        <w:trPr>
          <w:trHeight w:val="720"/>
        </w:trPr>
        <w:tc>
          <w:tcPr>
            <w:tcW w:w="5328" w:type="dxa"/>
            <w:gridSpan w:val="3"/>
            <w:tcBorders>
              <w:bottom w:val="single" w:sz="4" w:space="0" w:color="auto"/>
            </w:tcBorders>
            <w:vAlign w:val="bottom"/>
          </w:tcPr>
          <w:p w14:paraId="166925C5" w14:textId="1F605A1D" w:rsidR="00F0261F" w:rsidRPr="00827DDE" w:rsidRDefault="00491B29" w:rsidP="009F38EE">
            <w:pPr>
              <w:pStyle w:val="AABoxText"/>
            </w:pPr>
            <w:r>
              <w:t>451 Tobacco Prevention and Control</w:t>
            </w:r>
          </w:p>
        </w:tc>
        <w:tc>
          <w:tcPr>
            <w:tcW w:w="450" w:type="dxa"/>
            <w:vAlign w:val="bottom"/>
          </w:tcPr>
          <w:p w14:paraId="5ADAB402" w14:textId="77777777" w:rsidR="00F0261F" w:rsidRPr="00827DDE" w:rsidRDefault="00F0261F" w:rsidP="009F38EE"/>
        </w:tc>
        <w:tc>
          <w:tcPr>
            <w:tcW w:w="5022" w:type="dxa"/>
            <w:tcBorders>
              <w:bottom w:val="single" w:sz="4" w:space="0" w:color="auto"/>
            </w:tcBorders>
            <w:vAlign w:val="bottom"/>
          </w:tcPr>
          <w:p w14:paraId="13388878" w14:textId="77777777" w:rsidR="00F0261F" w:rsidRPr="00827DDE" w:rsidRDefault="00F0261F" w:rsidP="009F38EE">
            <w:pPr>
              <w:pStyle w:val="AABoxText"/>
            </w:pPr>
          </w:p>
        </w:tc>
      </w:tr>
      <w:tr w:rsidR="00F0261F" w:rsidRPr="00F0261F" w14:paraId="134AAC49" w14:textId="77777777" w:rsidTr="00F0261F">
        <w:tc>
          <w:tcPr>
            <w:tcW w:w="5328" w:type="dxa"/>
            <w:gridSpan w:val="3"/>
          </w:tcPr>
          <w:p w14:paraId="5301D0C8" w14:textId="77777777" w:rsidR="00F0261F" w:rsidRPr="00F0261F" w:rsidRDefault="00F0261F" w:rsidP="009F38EE">
            <w:pPr>
              <w:pStyle w:val="AABoxTitle"/>
            </w:pPr>
            <w:r w:rsidRPr="00F0261F">
              <w:t xml:space="preserve">Activity Number and Description </w:t>
            </w:r>
          </w:p>
        </w:tc>
        <w:tc>
          <w:tcPr>
            <w:tcW w:w="450" w:type="dxa"/>
          </w:tcPr>
          <w:p w14:paraId="07B372D5" w14:textId="77777777" w:rsidR="00F0261F" w:rsidRPr="00F0261F" w:rsidRDefault="00F0261F" w:rsidP="009F38EE">
            <w:pPr>
              <w:rPr>
                <w:b/>
                <w:bCs/>
                <w:sz w:val="22"/>
              </w:rPr>
            </w:pPr>
          </w:p>
        </w:tc>
        <w:tc>
          <w:tcPr>
            <w:tcW w:w="5022" w:type="dxa"/>
          </w:tcPr>
          <w:p w14:paraId="0A49179E" w14:textId="77777777" w:rsidR="00F0261F" w:rsidRPr="00F0261F" w:rsidRDefault="00F0261F" w:rsidP="009F38EE">
            <w:pPr>
              <w:pStyle w:val="AABoxTitle"/>
            </w:pPr>
            <w:r w:rsidRPr="00F0261F">
              <w:t>DPH Program Contact</w:t>
            </w:r>
          </w:p>
          <w:p w14:paraId="311BD1C1" w14:textId="77777777" w:rsidR="00F0261F" w:rsidRPr="00F0261F" w:rsidRDefault="00F0261F" w:rsidP="009F38EE">
            <w:pPr>
              <w:pStyle w:val="AABoxEtc"/>
            </w:pPr>
            <w:r w:rsidRPr="00F0261F">
              <w:t>(name, phone number, and email)</w:t>
            </w:r>
          </w:p>
        </w:tc>
      </w:tr>
      <w:tr w:rsidR="00F0261F" w:rsidRPr="00827DDE" w14:paraId="58E5B40F" w14:textId="77777777" w:rsidTr="00F026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5328" w:type="dxa"/>
            <w:gridSpan w:val="3"/>
            <w:tcBorders>
              <w:top w:val="nil"/>
              <w:left w:val="nil"/>
              <w:bottom w:val="single" w:sz="4" w:space="0" w:color="auto"/>
              <w:right w:val="nil"/>
            </w:tcBorders>
            <w:vAlign w:val="bottom"/>
          </w:tcPr>
          <w:p w14:paraId="32C037D3" w14:textId="7F7AF157" w:rsidR="00F0261F" w:rsidRPr="00827DDE" w:rsidRDefault="00F0261F" w:rsidP="009F38EE">
            <w:pPr>
              <w:pStyle w:val="AABoxText"/>
            </w:pPr>
            <w:r w:rsidRPr="00827DDE">
              <w:t>06/01/202</w:t>
            </w:r>
            <w:r w:rsidR="008073C0">
              <w:t>6</w:t>
            </w:r>
            <w:r w:rsidRPr="00827DDE">
              <w:t xml:space="preserve"> – 05/31/202</w:t>
            </w:r>
            <w:r w:rsidR="008073C0">
              <w:t>7</w:t>
            </w:r>
          </w:p>
        </w:tc>
        <w:tc>
          <w:tcPr>
            <w:tcW w:w="450" w:type="dxa"/>
            <w:tcBorders>
              <w:top w:val="nil"/>
              <w:left w:val="nil"/>
              <w:bottom w:val="nil"/>
              <w:right w:val="nil"/>
            </w:tcBorders>
            <w:vAlign w:val="bottom"/>
          </w:tcPr>
          <w:p w14:paraId="132A6230" w14:textId="77777777" w:rsidR="00F0261F" w:rsidRPr="00827DDE" w:rsidRDefault="00F0261F" w:rsidP="009F38EE"/>
        </w:tc>
        <w:tc>
          <w:tcPr>
            <w:tcW w:w="5022" w:type="dxa"/>
            <w:tcBorders>
              <w:top w:val="nil"/>
              <w:left w:val="nil"/>
              <w:bottom w:val="single" w:sz="4" w:space="0" w:color="auto"/>
              <w:right w:val="nil"/>
            </w:tcBorders>
            <w:vAlign w:val="bottom"/>
          </w:tcPr>
          <w:p w14:paraId="5C057851" w14:textId="77777777" w:rsidR="00F0261F" w:rsidRPr="00827DDE" w:rsidRDefault="00F0261F" w:rsidP="009F38EE">
            <w:pPr>
              <w:pStyle w:val="AABoxText"/>
            </w:pPr>
          </w:p>
        </w:tc>
      </w:tr>
      <w:tr w:rsidR="00F0261F" w:rsidRPr="00F0261F" w14:paraId="37EA7FA8" w14:textId="77777777" w:rsidTr="00F026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28" w:type="dxa"/>
            <w:gridSpan w:val="3"/>
            <w:tcBorders>
              <w:top w:val="nil"/>
              <w:left w:val="nil"/>
              <w:bottom w:val="nil"/>
              <w:right w:val="nil"/>
            </w:tcBorders>
          </w:tcPr>
          <w:p w14:paraId="7F398E38" w14:textId="77777777" w:rsidR="00F0261F" w:rsidRPr="00F0261F" w:rsidRDefault="00F0261F" w:rsidP="009F38EE">
            <w:pPr>
              <w:pStyle w:val="AABoxTitle"/>
            </w:pPr>
            <w:r w:rsidRPr="00F0261F">
              <w:t>Service Period</w:t>
            </w:r>
          </w:p>
        </w:tc>
        <w:tc>
          <w:tcPr>
            <w:tcW w:w="450" w:type="dxa"/>
            <w:tcBorders>
              <w:top w:val="nil"/>
              <w:left w:val="nil"/>
              <w:bottom w:val="nil"/>
              <w:right w:val="nil"/>
            </w:tcBorders>
          </w:tcPr>
          <w:p w14:paraId="5E11F453" w14:textId="77777777" w:rsidR="00F0261F" w:rsidRPr="00F0261F" w:rsidRDefault="00F0261F" w:rsidP="009F38EE">
            <w:pPr>
              <w:rPr>
                <w:b/>
                <w:bCs/>
                <w:sz w:val="22"/>
              </w:rPr>
            </w:pPr>
          </w:p>
        </w:tc>
        <w:tc>
          <w:tcPr>
            <w:tcW w:w="5022" w:type="dxa"/>
            <w:tcBorders>
              <w:top w:val="nil"/>
              <w:left w:val="nil"/>
              <w:bottom w:val="nil"/>
              <w:right w:val="nil"/>
            </w:tcBorders>
          </w:tcPr>
          <w:p w14:paraId="71D70943" w14:textId="77777777" w:rsidR="00F0261F" w:rsidRPr="00B12371" w:rsidRDefault="00F0261F" w:rsidP="009F38EE">
            <w:pPr>
              <w:pStyle w:val="AABoxTitle"/>
            </w:pPr>
            <w:r w:rsidRPr="00B12371">
              <w:t>DPH Program Signature</w:t>
            </w:r>
            <w:r w:rsidRPr="00B12371">
              <w:tab/>
              <w:t>Date</w:t>
            </w:r>
          </w:p>
          <w:p w14:paraId="618B4BDE" w14:textId="77777777" w:rsidR="00F0261F" w:rsidRPr="00F0261F" w:rsidRDefault="00F0261F" w:rsidP="009F38EE">
            <w:pPr>
              <w:pStyle w:val="AABoxEtc"/>
            </w:pPr>
            <w:r w:rsidRPr="00F0261F">
              <w:t>(only required for a negotiable Agreement Addendum)</w:t>
            </w:r>
          </w:p>
        </w:tc>
      </w:tr>
      <w:tr w:rsidR="00F0261F" w:rsidRPr="00827DDE" w14:paraId="06E78D04" w14:textId="77777777" w:rsidTr="00F026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28" w:type="dxa"/>
            <w:gridSpan w:val="3"/>
            <w:tcBorders>
              <w:top w:val="nil"/>
              <w:left w:val="nil"/>
              <w:bottom w:val="single" w:sz="4" w:space="0" w:color="auto"/>
              <w:right w:val="nil"/>
            </w:tcBorders>
            <w:vAlign w:val="bottom"/>
          </w:tcPr>
          <w:p w14:paraId="3A301B1C" w14:textId="2A17565E" w:rsidR="00F0261F" w:rsidRPr="00827DDE" w:rsidRDefault="00F0261F" w:rsidP="009F38EE">
            <w:pPr>
              <w:pStyle w:val="AABoxText"/>
            </w:pPr>
            <w:r w:rsidRPr="00827DDE">
              <w:t>07/01/202</w:t>
            </w:r>
            <w:r w:rsidR="008073C0">
              <w:t>6</w:t>
            </w:r>
            <w:r w:rsidRPr="00827DDE">
              <w:t xml:space="preserve"> – 06/30/202</w:t>
            </w:r>
            <w:r w:rsidR="008073C0">
              <w:t>7</w:t>
            </w:r>
          </w:p>
        </w:tc>
        <w:tc>
          <w:tcPr>
            <w:tcW w:w="450" w:type="dxa"/>
            <w:tcBorders>
              <w:top w:val="nil"/>
              <w:left w:val="nil"/>
              <w:bottom w:val="nil"/>
              <w:right w:val="nil"/>
            </w:tcBorders>
            <w:vAlign w:val="bottom"/>
          </w:tcPr>
          <w:p w14:paraId="628CDB29" w14:textId="77777777" w:rsidR="00F0261F" w:rsidRPr="00827DDE" w:rsidRDefault="00F0261F" w:rsidP="009F38EE">
            <w:pPr>
              <w:pStyle w:val="AABoxText"/>
            </w:pPr>
          </w:p>
        </w:tc>
        <w:tc>
          <w:tcPr>
            <w:tcW w:w="5022" w:type="dxa"/>
            <w:tcBorders>
              <w:top w:val="nil"/>
              <w:left w:val="nil"/>
              <w:bottom w:val="nil"/>
              <w:right w:val="nil"/>
            </w:tcBorders>
            <w:vAlign w:val="bottom"/>
          </w:tcPr>
          <w:p w14:paraId="50C09381" w14:textId="77777777" w:rsidR="00F0261F" w:rsidRPr="00827DDE" w:rsidRDefault="00F0261F" w:rsidP="009F38EE">
            <w:pPr>
              <w:pStyle w:val="AABoxText"/>
            </w:pPr>
          </w:p>
        </w:tc>
      </w:tr>
      <w:tr w:rsidR="00F0261F" w:rsidRPr="00F0261F" w14:paraId="60423BCB" w14:textId="77777777" w:rsidTr="00F026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28" w:type="dxa"/>
            <w:gridSpan w:val="3"/>
            <w:tcBorders>
              <w:top w:val="single" w:sz="4" w:space="0" w:color="auto"/>
              <w:left w:val="nil"/>
              <w:bottom w:val="nil"/>
              <w:right w:val="nil"/>
            </w:tcBorders>
          </w:tcPr>
          <w:p w14:paraId="7C197B10" w14:textId="77777777" w:rsidR="00F0261F" w:rsidRPr="00F0261F" w:rsidRDefault="00F0261F" w:rsidP="009F38EE">
            <w:pPr>
              <w:pStyle w:val="AABoxTitle"/>
            </w:pPr>
            <w:r w:rsidRPr="00F0261F">
              <w:t>Payment Period</w:t>
            </w:r>
          </w:p>
        </w:tc>
        <w:tc>
          <w:tcPr>
            <w:tcW w:w="450" w:type="dxa"/>
            <w:tcBorders>
              <w:top w:val="nil"/>
              <w:left w:val="nil"/>
              <w:bottom w:val="nil"/>
              <w:right w:val="nil"/>
            </w:tcBorders>
          </w:tcPr>
          <w:p w14:paraId="7892FFE2" w14:textId="77777777" w:rsidR="00F0261F" w:rsidRPr="00F0261F" w:rsidRDefault="00F0261F" w:rsidP="009F38EE">
            <w:pPr>
              <w:rPr>
                <w:b/>
                <w:bCs/>
                <w:sz w:val="22"/>
              </w:rPr>
            </w:pPr>
          </w:p>
        </w:tc>
        <w:tc>
          <w:tcPr>
            <w:tcW w:w="5022" w:type="dxa"/>
            <w:tcBorders>
              <w:top w:val="nil"/>
              <w:left w:val="nil"/>
              <w:bottom w:val="nil"/>
              <w:right w:val="nil"/>
            </w:tcBorders>
          </w:tcPr>
          <w:p w14:paraId="3A6F70AC" w14:textId="77777777" w:rsidR="00F0261F" w:rsidRPr="00F0261F" w:rsidRDefault="00F0261F" w:rsidP="009F38EE">
            <w:pPr>
              <w:rPr>
                <w:b/>
                <w:bCs/>
                <w:sz w:val="22"/>
              </w:rPr>
            </w:pPr>
          </w:p>
        </w:tc>
      </w:tr>
      <w:tr w:rsidR="00F0261F" w:rsidRPr="002F302D" w14:paraId="64C28F00" w14:textId="77777777" w:rsidTr="00F0261F">
        <w:tblPrEx>
          <w:tblLook w:val="04A0" w:firstRow="1" w:lastRow="0" w:firstColumn="1" w:lastColumn="0" w:noHBand="0" w:noVBand="1"/>
        </w:tblPrEx>
        <w:tc>
          <w:tcPr>
            <w:tcW w:w="10800" w:type="dxa"/>
            <w:gridSpan w:val="5"/>
          </w:tcPr>
          <w:p w14:paraId="67FCB542" w14:textId="77777777" w:rsidR="00F0261F" w:rsidRPr="00E868CE" w:rsidRDefault="00F0261F" w:rsidP="009F38EE">
            <w:pPr>
              <w:pStyle w:val="AABoxTitle"/>
              <w:spacing w:before="60"/>
              <w:ind w:right="-72"/>
              <w:rPr>
                <w:b w:val="0"/>
                <w:bCs w:val="0"/>
              </w:rPr>
            </w:pPr>
            <w:r w:rsidRPr="00E868CE">
              <w:rPr>
                <w:b w:val="0"/>
                <w:bCs w:val="0"/>
                <w:sz w:val="20"/>
                <w:szCs w:val="20"/>
              </w:rPr>
              <w:fldChar w:fldCharType="begin">
                <w:ffData>
                  <w:name w:val="Check3"/>
                  <w:enabled/>
                  <w:calcOnExit w:val="0"/>
                  <w:checkBox>
                    <w:sizeAuto/>
                    <w:default w:val="1"/>
                  </w:checkBox>
                </w:ffData>
              </w:fldChar>
            </w:r>
            <w:bookmarkStart w:id="0" w:name="Check3"/>
            <w:r w:rsidRPr="00E868CE">
              <w:rPr>
                <w:b w:val="0"/>
                <w:bCs w:val="0"/>
                <w:sz w:val="20"/>
                <w:szCs w:val="20"/>
              </w:rPr>
              <w:instrText xml:space="preserve"> FORMCHECKBOX </w:instrText>
            </w:r>
            <w:r w:rsidRPr="00E868CE">
              <w:rPr>
                <w:b w:val="0"/>
                <w:bCs w:val="0"/>
                <w:sz w:val="20"/>
                <w:szCs w:val="20"/>
              </w:rPr>
            </w:r>
            <w:r w:rsidRPr="00E868CE">
              <w:rPr>
                <w:b w:val="0"/>
                <w:bCs w:val="0"/>
                <w:sz w:val="20"/>
                <w:szCs w:val="20"/>
              </w:rPr>
              <w:fldChar w:fldCharType="separate"/>
            </w:r>
            <w:r w:rsidRPr="00E868CE">
              <w:rPr>
                <w:b w:val="0"/>
                <w:bCs w:val="0"/>
                <w:sz w:val="20"/>
                <w:szCs w:val="20"/>
              </w:rPr>
              <w:fldChar w:fldCharType="end"/>
            </w:r>
            <w:r w:rsidRPr="00E868CE">
              <w:rPr>
                <w:b w:val="0"/>
                <w:bCs w:val="0"/>
                <w:sz w:val="20"/>
                <w:szCs w:val="20"/>
              </w:rPr>
              <w:t xml:space="preserve"> </w:t>
            </w:r>
            <w:bookmarkEnd w:id="0"/>
            <w:r w:rsidRPr="00E868CE">
              <w:rPr>
                <w:b w:val="0"/>
                <w:bCs w:val="0"/>
              </w:rPr>
              <w:t>Original Agreement Addendum</w:t>
            </w:r>
          </w:p>
        </w:tc>
      </w:tr>
      <w:tr w:rsidR="00F0261F" w:rsidRPr="002F302D" w14:paraId="1679A608" w14:textId="77777777" w:rsidTr="00E868CE">
        <w:tblPrEx>
          <w:tblLook w:val="04A0" w:firstRow="1" w:lastRow="0" w:firstColumn="1" w:lastColumn="0" w:noHBand="0" w:noVBand="1"/>
        </w:tblPrEx>
        <w:tc>
          <w:tcPr>
            <w:tcW w:w="3510" w:type="dxa"/>
            <w:vAlign w:val="bottom"/>
          </w:tcPr>
          <w:p w14:paraId="16F4CDAB" w14:textId="77777777" w:rsidR="00F0261F" w:rsidRPr="00E868CE" w:rsidRDefault="00F0261F" w:rsidP="009F38EE">
            <w:pPr>
              <w:pStyle w:val="AABoxTitle"/>
              <w:ind w:right="-72"/>
              <w:rPr>
                <w:b w:val="0"/>
                <w:bCs w:val="0"/>
              </w:rPr>
            </w:pPr>
            <w:r w:rsidRPr="00E868CE">
              <w:rPr>
                <w:b w:val="0"/>
                <w:bCs w:val="0"/>
                <w:sz w:val="20"/>
                <w:szCs w:val="20"/>
              </w:rPr>
              <w:fldChar w:fldCharType="begin">
                <w:ffData>
                  <w:name w:val="Check3"/>
                  <w:enabled/>
                  <w:calcOnExit w:val="0"/>
                  <w:checkBox>
                    <w:sizeAuto/>
                    <w:default w:val="0"/>
                    <w:checked w:val="0"/>
                  </w:checkBox>
                </w:ffData>
              </w:fldChar>
            </w:r>
            <w:r w:rsidRPr="00E868CE">
              <w:rPr>
                <w:b w:val="0"/>
                <w:bCs w:val="0"/>
                <w:sz w:val="20"/>
                <w:szCs w:val="20"/>
              </w:rPr>
              <w:instrText xml:space="preserve"> FORMCHECKBOX </w:instrText>
            </w:r>
            <w:r w:rsidRPr="00E868CE">
              <w:rPr>
                <w:b w:val="0"/>
                <w:bCs w:val="0"/>
                <w:sz w:val="20"/>
                <w:szCs w:val="20"/>
              </w:rPr>
            </w:r>
            <w:r w:rsidRPr="00E868CE">
              <w:rPr>
                <w:b w:val="0"/>
                <w:bCs w:val="0"/>
                <w:sz w:val="20"/>
                <w:szCs w:val="20"/>
              </w:rPr>
              <w:fldChar w:fldCharType="separate"/>
            </w:r>
            <w:r w:rsidRPr="00E868CE">
              <w:rPr>
                <w:b w:val="0"/>
                <w:bCs w:val="0"/>
                <w:sz w:val="20"/>
                <w:szCs w:val="20"/>
              </w:rPr>
              <w:fldChar w:fldCharType="end"/>
            </w:r>
            <w:r w:rsidRPr="00E868CE">
              <w:rPr>
                <w:b w:val="0"/>
                <w:bCs w:val="0"/>
                <w:sz w:val="20"/>
                <w:szCs w:val="20"/>
              </w:rPr>
              <w:t xml:space="preserve"> </w:t>
            </w:r>
            <w:r w:rsidRPr="00E868CE">
              <w:rPr>
                <w:b w:val="0"/>
                <w:bCs w:val="0"/>
              </w:rPr>
              <w:t>Agreement Addendum Revision #</w:t>
            </w:r>
          </w:p>
        </w:tc>
        <w:tc>
          <w:tcPr>
            <w:tcW w:w="360" w:type="dxa"/>
            <w:tcBorders>
              <w:bottom w:val="single" w:sz="4" w:space="0" w:color="auto"/>
            </w:tcBorders>
            <w:vAlign w:val="bottom"/>
          </w:tcPr>
          <w:p w14:paraId="4882C45B" w14:textId="60160A7F" w:rsidR="00F0261F" w:rsidRPr="002F302D" w:rsidRDefault="00F0261F" w:rsidP="009F38EE">
            <w:pPr>
              <w:pStyle w:val="AABoxTitle"/>
              <w:rPr>
                <w:szCs w:val="24"/>
              </w:rPr>
            </w:pPr>
          </w:p>
        </w:tc>
        <w:tc>
          <w:tcPr>
            <w:tcW w:w="6930" w:type="dxa"/>
            <w:gridSpan w:val="3"/>
            <w:vAlign w:val="bottom"/>
          </w:tcPr>
          <w:p w14:paraId="5BB3A97A" w14:textId="77777777" w:rsidR="00F0261F" w:rsidRPr="002F302D" w:rsidRDefault="00F0261F" w:rsidP="009F38EE">
            <w:pPr>
              <w:rPr>
                <w:sz w:val="22"/>
              </w:rPr>
            </w:pPr>
          </w:p>
        </w:tc>
      </w:tr>
    </w:tbl>
    <w:p w14:paraId="4BE74686" w14:textId="2DE951D3" w:rsidR="00F0261F" w:rsidRDefault="00F0261F" w:rsidP="009F38EE">
      <w:pPr>
        <w:pStyle w:val="Heading1"/>
        <w:keepNext w:val="0"/>
      </w:pPr>
      <w:r w:rsidRPr="004C49B9">
        <w:t>I.</w:t>
      </w:r>
      <w:r w:rsidRPr="004C49B9">
        <w:tab/>
      </w:r>
      <w:r w:rsidRPr="004C49B9">
        <w:rPr>
          <w:u w:val="single"/>
        </w:rPr>
        <w:t>Background</w:t>
      </w:r>
      <w:r w:rsidRPr="004C49B9">
        <w:t>:</w:t>
      </w:r>
    </w:p>
    <w:p w14:paraId="7CCCA8AD" w14:textId="3C6385EF" w:rsidR="00727204" w:rsidRDefault="00491B29" w:rsidP="009F38EE">
      <w:pPr>
        <w:pStyle w:val="AAOpener"/>
      </w:pPr>
      <w:r w:rsidRPr="00491B29">
        <w:t>Tobacco use/nicotine dependence remains the number one preventable cause of early death and disease in North Carolina.</w:t>
      </w:r>
      <w:r w:rsidR="00196D8E">
        <w:t xml:space="preserve"> Smoking </w:t>
      </w:r>
      <w:r w:rsidR="000B36A3">
        <w:t xml:space="preserve">cigarettes </w:t>
      </w:r>
      <w:r w:rsidR="00196D8E">
        <w:t>is responsible for 14,200 deaths per year—one of every five deaths in North Carolina—and is a major risk factor for the leading causes of premature death.</w:t>
      </w:r>
      <w:r w:rsidRPr="00491B29">
        <w:t xml:space="preserve"> For each death, 30 more people are sick or live with a disability because of tobacco use. North Carolina’s direct medical costs from smoking are $4.42 billion each year with the estimated smoking caused productivity losses equaling $10.8 billion.</w:t>
      </w:r>
    </w:p>
    <w:p w14:paraId="28FF692A" w14:textId="21B1286A" w:rsidR="00727204" w:rsidRDefault="00491B29" w:rsidP="009F38EE">
      <w:pPr>
        <w:pStyle w:val="AA-Normal12pt"/>
      </w:pPr>
      <w:r w:rsidRPr="00491B29">
        <w:t>While cigarette smoking has been steadily declining among North Carolina youth, use of any tobacco/nicotine product is still very high due to rising use of e-cigarettes</w:t>
      </w:r>
      <w:r w:rsidR="000B36A3">
        <w:t>/vape devices</w:t>
      </w:r>
      <w:r w:rsidRPr="00491B29">
        <w:t>. In 2022, 12.3% of high school students, or 1 in 8, were current users of a tobacco product, with e-cigarettes being the most used type of product (North Carolina Youth Tobacco Survey, 2022).</w:t>
      </w:r>
    </w:p>
    <w:p w14:paraId="5F861EC8" w14:textId="77777777" w:rsidR="00727204" w:rsidRDefault="00491B29" w:rsidP="009F38EE">
      <w:pPr>
        <w:pStyle w:val="AA-Normal12pt"/>
      </w:pPr>
      <w:r w:rsidRPr="00491B29">
        <w:t>The original June 2021 consent judgement resolving the case, State of North Carolina, ex rel. Joshua H. Stein, Attorney General v. Juul Labs, Inc. (JLI), in the General Court of Justice, Superior Court Division, Durham County (JLI Case), ordered Juul to pay $40 million to the State over six years. The Juul Settlement funds are to be used for e-cigarette cessation, prevention, data monitoring and evaluation, a documents depository and litigation costs.</w:t>
      </w:r>
      <w:r w:rsidR="00727204">
        <w:t xml:space="preserve"> </w:t>
      </w:r>
      <w:r w:rsidRPr="00491B29">
        <w:t>In a revised December 2023 consent judgement, the N.C. Department of Justice announced that North Carolina will receive an additional $7.8 million from Juul Labs. This means North Carolina will receive a total of $47.8 million over nine years to fund the intervention areas listed above.</w:t>
      </w:r>
    </w:p>
    <w:p w14:paraId="14E73679" w14:textId="69724320" w:rsidR="00491B29" w:rsidRPr="00491B29" w:rsidRDefault="00491B29" w:rsidP="009F38EE">
      <w:pPr>
        <w:pStyle w:val="AA-Normal12pt"/>
      </w:pPr>
      <w:r w:rsidRPr="00491B29">
        <w:lastRenderedPageBreak/>
        <w:t xml:space="preserve">The Youth Electronic Nicotine Dependence Abatement Fund was created in Section 9G.10(a) of S.L. 2021-180. Funds are appropriated to the </w:t>
      </w:r>
      <w:r w:rsidR="000B14CC">
        <w:t xml:space="preserve">North Carolina </w:t>
      </w:r>
      <w:r w:rsidRPr="00491B29">
        <w:t>Department of Health and Human Services, Division of Public Health (DPH) to fund evidence-based electronic cigarette and nicotine dependence prevention and cessation activities for youth and young adults. Funds allocated under subsection (a) of this section shall remain available for expenditure as specified in subsection (a) of this section until expended.</w:t>
      </w:r>
    </w:p>
    <w:p w14:paraId="05216BF2" w14:textId="280315B0" w:rsidR="00491B29" w:rsidRPr="00491B29" w:rsidRDefault="00491B29" w:rsidP="009F38EE">
      <w:pPr>
        <w:pStyle w:val="AA-Normal12pt"/>
      </w:pPr>
      <w:r w:rsidRPr="00491B29">
        <w:t>The Tobacco Prevention and Control Branch (TPC) Branch manages the resources and activities supported through the Youth Electronic Nicotine Dependence Abatement Fund. It collaborates with and builds the capacity of partners, including state and local agencies, local health departments and community organizations, to plan and implement evidence-based e</w:t>
      </w:r>
      <w:r w:rsidR="004C350D">
        <w:t>-</w:t>
      </w:r>
      <w:r w:rsidRPr="00491B29">
        <w:t>cigarette and nicotine dependence prevention and cessation activities for youth and young adults. The Community Preventative Services Task Force (CPSTF) is an independent, nonfederal panel of 15 public health and prevention experts who represent a broad range of scientific, practice, and policy expertise in community prevention services, public health, health promotion, and disease prevention. CPSTF provides recommendations and findings on programs, services, and other interventions to protect and improve population health. Recommended interventions include mass reach health communications, smokefree policies, and community mobilization with additional interventions to restrict minors’ access to tobacco products.</w:t>
      </w:r>
    </w:p>
    <w:p w14:paraId="6F57D9BF" w14:textId="4D8DB05A" w:rsidR="004C49B9" w:rsidRDefault="004C49B9" w:rsidP="006E5E60">
      <w:pPr>
        <w:pStyle w:val="Heading1"/>
      </w:pPr>
      <w:r>
        <w:t>I</w:t>
      </w:r>
      <w:r w:rsidRPr="004C49B9">
        <w:t>I.</w:t>
      </w:r>
      <w:r w:rsidRPr="004C49B9">
        <w:tab/>
      </w:r>
      <w:r w:rsidRPr="004C49B9">
        <w:rPr>
          <w:u w:val="single"/>
        </w:rPr>
        <w:t>Purpose</w:t>
      </w:r>
      <w:r w:rsidRPr="004C49B9">
        <w:t>:</w:t>
      </w:r>
    </w:p>
    <w:p w14:paraId="0FA80473" w14:textId="6C8F75FF" w:rsidR="00491B29" w:rsidRPr="00491B29" w:rsidRDefault="00491B29" w:rsidP="009F38EE">
      <w:pPr>
        <w:pStyle w:val="AAOpener"/>
      </w:pPr>
      <w:r w:rsidRPr="00491B29">
        <w:t>This Activity uses Juul Settlement funds to implement evidence-based e</w:t>
      </w:r>
      <w:r w:rsidR="004C350D">
        <w:t>-</w:t>
      </w:r>
      <w:r w:rsidRPr="00491B29">
        <w:t>cigarette and nicotine dependence prevention and cessation activities for youth and young adults in alignment with the Juul Consent Judgment. Activities should support prevention, cessation, and policy change, and cultivate environments that promote tobacco-free norms among young people. Evidence-based policy changes such as tobacco-free schools, colleges, workplaces and communities help create healthy community and social norms to prevent e-cigarette initiation among young people and among adult influencers who find it easier to quit successfully while at the same time preventing exposure to secondhand smoke and e</w:t>
      </w:r>
      <w:r w:rsidR="000B14CC">
        <w:noBreakHyphen/>
      </w:r>
      <w:r w:rsidRPr="00491B29">
        <w:t>cigarette aerosols.</w:t>
      </w:r>
    </w:p>
    <w:p w14:paraId="3BBF704B" w14:textId="3F837C26" w:rsidR="00491B29" w:rsidRPr="00491B29" w:rsidRDefault="00491B29" w:rsidP="009F38EE">
      <w:pPr>
        <w:pStyle w:val="AA-Normal12pt"/>
      </w:pPr>
      <w:r w:rsidRPr="00491B29">
        <w:t xml:space="preserve">Funds are allocated to local health departments </w:t>
      </w:r>
      <w:proofErr w:type="gramStart"/>
      <w:r w:rsidR="000B3EF9">
        <w:t xml:space="preserve">across </w:t>
      </w:r>
      <w:r w:rsidRPr="00491B29">
        <w:t xml:space="preserve"> the</w:t>
      </w:r>
      <w:proofErr w:type="gramEnd"/>
      <w:r w:rsidRPr="00491B29">
        <w:t xml:space="preserve"> 10 regions defined by the North Carolina Association of Local Health Directors (NCALHD). Each region is led by a Regional Leadership Team of Local Health Directors, a full time Regional Manager, and community partner advisors. The Regional Leadership Teams and Regional Managers coordinate with diverse representatives from key community organizations, sectors, and disparate populations to develop as Regional Collaborative.</w:t>
      </w:r>
    </w:p>
    <w:p w14:paraId="02AFE265" w14:textId="2A301841" w:rsidR="004C49B9" w:rsidRDefault="004C49B9" w:rsidP="006E5E60">
      <w:pPr>
        <w:pStyle w:val="Heading1"/>
      </w:pPr>
      <w:r>
        <w:t>II</w:t>
      </w:r>
      <w:r w:rsidRPr="004C49B9">
        <w:t>I.</w:t>
      </w:r>
      <w:r w:rsidRPr="004C49B9">
        <w:tab/>
      </w:r>
      <w:r w:rsidRPr="004C49B9">
        <w:rPr>
          <w:u w:val="single"/>
        </w:rPr>
        <w:t>Scope of Work and Deliverables</w:t>
      </w:r>
      <w:r w:rsidRPr="004C49B9">
        <w:t>:</w:t>
      </w:r>
    </w:p>
    <w:p w14:paraId="121F4DA8" w14:textId="5F98ADF8" w:rsidR="00C71F91" w:rsidRDefault="00B10F66" w:rsidP="009F38EE">
      <w:pPr>
        <w:pStyle w:val="AAOpener"/>
      </w:pPr>
      <w:r>
        <w:t>The Local Health Department (LHD) shall:</w:t>
      </w:r>
    </w:p>
    <w:p w14:paraId="3B2E133B" w14:textId="77777777" w:rsidR="00727204" w:rsidRDefault="00491B29" w:rsidP="009F38EE">
      <w:pPr>
        <w:pStyle w:val="AA-12pt"/>
        <w:numPr>
          <w:ilvl w:val="0"/>
          <w:numId w:val="18"/>
        </w:numPr>
        <w:spacing w:before="0"/>
      </w:pPr>
      <w:r w:rsidRPr="00F15710">
        <w:rPr>
          <w:b/>
          <w:bCs/>
        </w:rPr>
        <w:t>Hire and support a Regional Manager</w:t>
      </w:r>
      <w:r>
        <w:t>:</w:t>
      </w:r>
    </w:p>
    <w:p w14:paraId="536C9BD9" w14:textId="7E63A946" w:rsidR="00727204" w:rsidRDefault="00491B29" w:rsidP="009F38EE">
      <w:pPr>
        <w:pStyle w:val="AA-12pt"/>
        <w:spacing w:before="0"/>
        <w:ind w:left="1080"/>
      </w:pPr>
      <w:r>
        <w:t xml:space="preserve">The </w:t>
      </w:r>
      <w:r w:rsidR="00727204">
        <w:t>LHD</w:t>
      </w:r>
      <w:r>
        <w:t xml:space="preserve"> shall maintain a qualified full-time Regional Manager</w:t>
      </w:r>
      <w:r w:rsidR="00AD15A6">
        <w:t xml:space="preserve"> and </w:t>
      </w:r>
      <w:r>
        <w:t>inform the TPC Branch about staffing changes</w:t>
      </w:r>
      <w:r w:rsidR="00AD15A6">
        <w:t xml:space="preserve">. </w:t>
      </w:r>
      <w:r>
        <w:t>The Regional Manager shall provide expert leadership, technical assistance, and guidance to counties in the region on evidence-based e</w:t>
      </w:r>
      <w:r w:rsidR="004C350D">
        <w:t>-</w:t>
      </w:r>
      <w:r>
        <w:t xml:space="preserve">cigarette and nicotine dependence prevention and cessation strategies impacting </w:t>
      </w:r>
      <w:r w:rsidRPr="00976A70">
        <w:t>you</w:t>
      </w:r>
      <w:r w:rsidR="00BD4EF7">
        <w:t>ng people</w:t>
      </w:r>
      <w:r w:rsidRPr="00976A70">
        <w:t>.</w:t>
      </w:r>
      <w:r>
        <w:t xml:space="preserve"> The Regional Manager will support the capacity of the Regional Leadership Team and Regional Collaborative members to implement evidence-based policy, systems, and environmental changes that support e</w:t>
      </w:r>
      <w:r w:rsidR="00727204">
        <w:noBreakHyphen/>
      </w:r>
      <w:r>
        <w:t>cigarette and nicotine dependence prevention and cessation.</w:t>
      </w:r>
    </w:p>
    <w:p w14:paraId="1B50B3E6" w14:textId="062C2A1F" w:rsidR="00491B29" w:rsidRPr="000B14CC" w:rsidRDefault="00491B29" w:rsidP="009F38EE">
      <w:pPr>
        <w:pStyle w:val="AA-12pt"/>
        <w:numPr>
          <w:ilvl w:val="0"/>
          <w:numId w:val="18"/>
        </w:numPr>
        <w:rPr>
          <w:b/>
          <w:bCs/>
        </w:rPr>
      </w:pPr>
      <w:r w:rsidRPr="000B14CC">
        <w:rPr>
          <w:b/>
          <w:bCs/>
        </w:rPr>
        <w:t xml:space="preserve">Maintain a </w:t>
      </w:r>
      <w:r w:rsidR="00953972">
        <w:rPr>
          <w:b/>
          <w:bCs/>
        </w:rPr>
        <w:t>c</w:t>
      </w:r>
      <w:r w:rsidRPr="000B14CC">
        <w:rPr>
          <w:b/>
          <w:bCs/>
        </w:rPr>
        <w:t xml:space="preserve">ollaborative and </w:t>
      </w:r>
      <w:r w:rsidR="00953972">
        <w:rPr>
          <w:b/>
          <w:bCs/>
        </w:rPr>
        <w:t>i</w:t>
      </w:r>
      <w:r w:rsidRPr="000B14CC">
        <w:rPr>
          <w:b/>
          <w:bCs/>
        </w:rPr>
        <w:t>nformed Regional Leadership Team:</w:t>
      </w:r>
    </w:p>
    <w:p w14:paraId="021233D5" w14:textId="7CB8D009" w:rsidR="00491B29" w:rsidRDefault="00491B29" w:rsidP="009F38EE">
      <w:pPr>
        <w:pStyle w:val="AA-12pt"/>
        <w:spacing w:before="0"/>
        <w:ind w:left="1080"/>
      </w:pPr>
      <w:r>
        <w:t xml:space="preserve">The </w:t>
      </w:r>
      <w:r w:rsidR="00727204">
        <w:t xml:space="preserve">LHD </w:t>
      </w:r>
      <w:r w:rsidR="00976A70">
        <w:t xml:space="preserve">shall </w:t>
      </w:r>
      <w:r>
        <w:t xml:space="preserve">maintain a Regional Leadership Team comprised of Local Health Directors from each county in the region and two to three community partner advisors and is facilitated by the Regional Manager. The Regional Leadership </w:t>
      </w:r>
      <w:r w:rsidR="00953972">
        <w:t>T</w:t>
      </w:r>
      <w:r>
        <w:t xml:space="preserve">eam </w:t>
      </w:r>
      <w:r w:rsidR="00976A70">
        <w:t>shall</w:t>
      </w:r>
      <w:r w:rsidR="00953972">
        <w:t>:</w:t>
      </w:r>
    </w:p>
    <w:p w14:paraId="0DFF067B" w14:textId="1213B8D6" w:rsidR="00727204" w:rsidRDefault="00491B29" w:rsidP="009F38EE">
      <w:pPr>
        <w:pStyle w:val="AA-6pt"/>
      </w:pPr>
      <w:r>
        <w:lastRenderedPageBreak/>
        <w:t xml:space="preserve">Report at the monthly NCALHD meetings on any successes or challenges that may impact other regions or the state in its efforts to </w:t>
      </w:r>
      <w:r w:rsidR="00953972">
        <w:t>ameliorate</w:t>
      </w:r>
      <w:r>
        <w:t xml:space="preserve"> the e-cigarette and nicotine epidemic.</w:t>
      </w:r>
    </w:p>
    <w:p w14:paraId="563162DF" w14:textId="77777777" w:rsidR="00727204" w:rsidRDefault="00491B29" w:rsidP="009F38EE">
      <w:pPr>
        <w:pStyle w:val="AA-6pt"/>
      </w:pPr>
      <w:r>
        <w:t xml:space="preserve">Assess needs, opportunities, and gaps to prioritize evidence-based </w:t>
      </w:r>
      <w:r w:rsidR="004C350D">
        <w:t>e-</w:t>
      </w:r>
      <w:r>
        <w:t>cigarette and nicotine dependence prevention and cessation activities that impact</w:t>
      </w:r>
      <w:r w:rsidR="00BD4EF7">
        <w:t xml:space="preserve"> </w:t>
      </w:r>
      <w:r>
        <w:t xml:space="preserve">young </w:t>
      </w:r>
      <w:r w:rsidR="00BD4EF7">
        <w:t>people</w:t>
      </w:r>
      <w:r>
        <w:t>.</w:t>
      </w:r>
    </w:p>
    <w:p w14:paraId="1B284C5E" w14:textId="77777777" w:rsidR="00727204" w:rsidRDefault="00491B29" w:rsidP="009F38EE">
      <w:pPr>
        <w:pStyle w:val="AA-6pt"/>
      </w:pPr>
      <w:r>
        <w:t>Engage and educate the Regional Collaborative, diverse partners, and decision-makers on the benefits of evidence-based e</w:t>
      </w:r>
      <w:r w:rsidR="004C350D">
        <w:t>-</w:t>
      </w:r>
      <w:r>
        <w:t>cigarette and nicotine dependence use prevention and cessation policies and programs.</w:t>
      </w:r>
    </w:p>
    <w:p w14:paraId="4AD70862" w14:textId="3FAAEBE3" w:rsidR="00491B29" w:rsidRDefault="00491B29" w:rsidP="009F38EE">
      <w:pPr>
        <w:pStyle w:val="AA-12pt"/>
        <w:numPr>
          <w:ilvl w:val="0"/>
          <w:numId w:val="18"/>
        </w:numPr>
      </w:pPr>
      <w:r w:rsidRPr="00F15710">
        <w:rPr>
          <w:b/>
          <w:bCs/>
        </w:rPr>
        <w:t>Maintain a Regional Collaborative</w:t>
      </w:r>
      <w:r>
        <w:t>:</w:t>
      </w:r>
    </w:p>
    <w:p w14:paraId="3669689A" w14:textId="00617C23" w:rsidR="00491B29" w:rsidRDefault="00491B29" w:rsidP="009F38EE">
      <w:pPr>
        <w:pStyle w:val="AA-12pt"/>
        <w:spacing w:before="0"/>
        <w:ind w:left="1080"/>
      </w:pPr>
      <w:r>
        <w:t xml:space="preserve">The Regional Leadership Team and Regional Manager will coordinate with representatives from diverse communities and community organizations </w:t>
      </w:r>
      <w:r w:rsidR="00953972">
        <w:t>to form a Regional Collaborative</w:t>
      </w:r>
      <w:r w:rsidR="003F096F">
        <w:t xml:space="preserve">, which shall </w:t>
      </w:r>
      <w:r>
        <w:t xml:space="preserve">inform the development and implementation of an annual action plan and sustain networked partnerships. </w:t>
      </w:r>
      <w:r w:rsidR="00161D5D" w:rsidRPr="00161D5D">
        <w:t>This includes actively engaging you</w:t>
      </w:r>
      <w:r w:rsidR="00BD4EF7">
        <w:t xml:space="preserve">ng people </w:t>
      </w:r>
      <w:r w:rsidR="00161D5D" w:rsidRPr="00161D5D">
        <w:t xml:space="preserve">through either forming a regional youth advisory group or maintaining youth representation within </w:t>
      </w:r>
      <w:r w:rsidR="00FF7212">
        <w:t>the R</w:t>
      </w:r>
      <w:r w:rsidR="00161D5D" w:rsidRPr="00161D5D">
        <w:t xml:space="preserve">egional </w:t>
      </w:r>
      <w:r w:rsidR="00FF7212">
        <w:t>Co</w:t>
      </w:r>
      <w:r w:rsidR="00161D5D" w:rsidRPr="00161D5D">
        <w:t xml:space="preserve">llaborative </w:t>
      </w:r>
      <w:r w:rsidR="00161D5D">
        <w:t>t</w:t>
      </w:r>
      <w:r w:rsidR="00161D5D" w:rsidRPr="00161D5D">
        <w:t>o inform youth focused tobacco prevention and control activities</w:t>
      </w:r>
      <w:r w:rsidR="00161D5D">
        <w:t>.</w:t>
      </w:r>
    </w:p>
    <w:p w14:paraId="04DE9CFD" w14:textId="73328DA8" w:rsidR="00491B29" w:rsidRPr="00F15710" w:rsidRDefault="00491B29" w:rsidP="009F38EE">
      <w:pPr>
        <w:pStyle w:val="AA-12pt"/>
        <w:numPr>
          <w:ilvl w:val="0"/>
          <w:numId w:val="18"/>
        </w:numPr>
        <w:rPr>
          <w:b/>
          <w:bCs/>
        </w:rPr>
      </w:pPr>
      <w:r w:rsidRPr="00F15710">
        <w:rPr>
          <w:b/>
          <w:bCs/>
        </w:rPr>
        <w:t>Implement the annual action plan and spending plan for State Fiscal Year 2026-2027</w:t>
      </w:r>
      <w:r w:rsidR="001830E9">
        <w:rPr>
          <w:b/>
          <w:bCs/>
        </w:rPr>
        <w:t xml:space="preserve"> which</w:t>
      </w:r>
      <w:r w:rsidR="001830E9" w:rsidRPr="001830E9">
        <w:rPr>
          <w:b/>
          <w:bCs/>
        </w:rPr>
        <w:t xml:space="preserve"> </w:t>
      </w:r>
      <w:r w:rsidR="001830E9" w:rsidRPr="00F15710">
        <w:rPr>
          <w:b/>
          <w:bCs/>
        </w:rPr>
        <w:t>address</w:t>
      </w:r>
      <w:r w:rsidR="001830E9">
        <w:rPr>
          <w:b/>
          <w:bCs/>
        </w:rPr>
        <w:t>es</w:t>
      </w:r>
      <w:r w:rsidR="001830E9" w:rsidRPr="00F15710">
        <w:rPr>
          <w:b/>
          <w:bCs/>
        </w:rPr>
        <w:t xml:space="preserve"> evidence-based policy, systems and environmental changes supporting e-cigarette and nicotine-free norms</w:t>
      </w:r>
      <w:r w:rsidR="00F15710" w:rsidRPr="00F15710">
        <w:t>:</w:t>
      </w:r>
    </w:p>
    <w:p w14:paraId="4D1CF472" w14:textId="2720B1F9" w:rsidR="00491B29" w:rsidRDefault="00491B29" w:rsidP="000B3EF9">
      <w:pPr>
        <w:pStyle w:val="AA-12pt"/>
        <w:spacing w:before="0"/>
        <w:ind w:left="1080"/>
      </w:pPr>
      <w:r>
        <w:t xml:space="preserve">The </w:t>
      </w:r>
      <w:r w:rsidR="00A23DA0">
        <w:t>LHD</w:t>
      </w:r>
      <w:r>
        <w:t xml:space="preserve"> will begin implementation of the Fiscal Year 2026-202</w:t>
      </w:r>
      <w:r w:rsidR="00A35C73">
        <w:t>7</w:t>
      </w:r>
      <w:r>
        <w:t xml:space="preserve"> annual action plan by Ju</w:t>
      </w:r>
      <w:r w:rsidR="00F15710">
        <w:t>ne</w:t>
      </w:r>
      <w:r>
        <w:t xml:space="preserve"> 1, 202</w:t>
      </w:r>
      <w:r w:rsidR="00A35C73">
        <w:t>6</w:t>
      </w:r>
      <w:r>
        <w:t>. The mid-year 100% spending plan is to be submitted by November 30, 202</w:t>
      </w:r>
      <w:r w:rsidR="00A35C73">
        <w:t>6</w:t>
      </w:r>
      <w:r>
        <w:t>, and the year-end 100% spending plan is to be submitted by April 30, 20</w:t>
      </w:r>
      <w:r w:rsidR="00F15710">
        <w:t>2</w:t>
      </w:r>
      <w:r w:rsidR="00A35C73">
        <w:t>7</w:t>
      </w:r>
      <w:r>
        <w:t>.</w:t>
      </w:r>
      <w:r w:rsidR="001830E9">
        <w:t xml:space="preserve"> The LHD </w:t>
      </w:r>
      <w:r w:rsidR="00F95416">
        <w:t xml:space="preserve">must implement at least three of the following </w:t>
      </w:r>
      <w:r>
        <w:t>activities:</w:t>
      </w:r>
    </w:p>
    <w:p w14:paraId="1307C69B" w14:textId="77777777" w:rsidR="00190AA1" w:rsidRDefault="00AD15A6" w:rsidP="009F38EE">
      <w:pPr>
        <w:pStyle w:val="AA-6pt"/>
        <w:numPr>
          <w:ilvl w:val="1"/>
          <w:numId w:val="20"/>
        </w:numPr>
      </w:pPr>
      <w:r>
        <w:t>Collaborate with schools to</w:t>
      </w:r>
      <w:r w:rsidRPr="005A5675">
        <w:t xml:space="preserve"> implement</w:t>
      </w:r>
      <w:r w:rsidR="00190AA1">
        <w:t>:</w:t>
      </w:r>
    </w:p>
    <w:p w14:paraId="622EC280" w14:textId="6612D292" w:rsidR="00190AA1" w:rsidRDefault="00190AA1" w:rsidP="00190AA1">
      <w:pPr>
        <w:pStyle w:val="AA-3pt"/>
      </w:pPr>
      <w:r>
        <w:t>A</w:t>
      </w:r>
      <w:r w:rsidR="00AD15A6" w:rsidRPr="005A5675">
        <w:t xml:space="preserve">ge-appropriate evidence-based nicotine, e-cigarette, and </w:t>
      </w:r>
      <w:r w:rsidR="00670FFD" w:rsidRPr="005A5675">
        <w:t>tobacco</w:t>
      </w:r>
      <w:r w:rsidR="00AD15A6" w:rsidRPr="005A5675">
        <w:t xml:space="preserve"> prevention education programs for all students</w:t>
      </w:r>
      <w:r w:rsidR="00AD15A6">
        <w:t>;</w:t>
      </w:r>
    </w:p>
    <w:p w14:paraId="39D1A686" w14:textId="4FDDC831" w:rsidR="00190AA1" w:rsidRDefault="00190AA1" w:rsidP="00190AA1">
      <w:pPr>
        <w:pStyle w:val="AA-3pt"/>
      </w:pPr>
      <w:r>
        <w:t>N</w:t>
      </w:r>
      <w:r w:rsidR="00AD15A6" w:rsidRPr="005A5675">
        <w:t>on-punitive, evidence-based alternatives to suspension programs for students who violate tobacco-free policies: and</w:t>
      </w:r>
    </w:p>
    <w:p w14:paraId="6E971244" w14:textId="6B72D5EE" w:rsidR="00AD15A6" w:rsidRDefault="00190AA1" w:rsidP="000B3EF9">
      <w:pPr>
        <w:pStyle w:val="AA-3pt"/>
      </w:pPr>
      <w:r>
        <w:t>L</w:t>
      </w:r>
      <w:r w:rsidR="00AD15A6">
        <w:t xml:space="preserve">inks to </w:t>
      </w:r>
      <w:r w:rsidR="00AD15A6" w:rsidRPr="005A5675">
        <w:t xml:space="preserve">youth-appropriate cessation resources for those struggling with </w:t>
      </w:r>
      <w:proofErr w:type="gramStart"/>
      <w:r w:rsidR="00AD15A6" w:rsidRPr="005A5675">
        <w:t>nicotine  addiction</w:t>
      </w:r>
      <w:proofErr w:type="gramEnd"/>
      <w:r w:rsidR="00AD15A6">
        <w:t>.</w:t>
      </w:r>
    </w:p>
    <w:p w14:paraId="7FE069D5" w14:textId="678E790A" w:rsidR="00670FFD" w:rsidRPr="00670FFD" w:rsidRDefault="00670FFD" w:rsidP="009F38EE">
      <w:pPr>
        <w:pStyle w:val="AA-6pt"/>
      </w:pPr>
      <w:r w:rsidRPr="00670FFD">
        <w:t>Educate and engage stakeholders, decision makers, and you</w:t>
      </w:r>
      <w:r w:rsidR="00BD4EF7">
        <w:t>ng people</w:t>
      </w:r>
      <w:r w:rsidRPr="00670FFD">
        <w:t xml:space="preserve"> about the harms of commercial tobacco use and nicotine dependence and promote evidence-based strategies to prevent</w:t>
      </w:r>
      <w:r w:rsidR="004C350D">
        <w:t xml:space="preserve"> </w:t>
      </w:r>
      <w:r w:rsidRPr="00670FFD">
        <w:t>initiation of commercial tobacco use, including e-cigarettes and emerging tobacco/nicotine products among you</w:t>
      </w:r>
      <w:r w:rsidR="00BD4EF7">
        <w:t>ng people</w:t>
      </w:r>
      <w:r w:rsidRPr="00670FFD">
        <w:t>.</w:t>
      </w:r>
    </w:p>
    <w:p w14:paraId="362A6924" w14:textId="3FC2701E" w:rsidR="00727204" w:rsidRDefault="00AD15A6" w:rsidP="009F38EE">
      <w:pPr>
        <w:pStyle w:val="AA-6pt"/>
      </w:pPr>
      <w:r>
        <w:t>Increase or enhance comprehensive policies for 100% smoke free or tobacco-free, including e</w:t>
      </w:r>
      <w:r w:rsidR="00190AA1">
        <w:noBreakHyphen/>
      </w:r>
      <w:r>
        <w:t>cigarettes</w:t>
      </w:r>
      <w:r w:rsidR="000B36A3">
        <w:t>/vape devices</w:t>
      </w:r>
      <w:r>
        <w:t xml:space="preserve"> for</w:t>
      </w:r>
      <w:r w:rsidR="00670FFD">
        <w:t>:</w:t>
      </w:r>
    </w:p>
    <w:p w14:paraId="6DC5844A" w14:textId="74067103" w:rsidR="00AD15A6" w:rsidRDefault="00AD15A6" w:rsidP="009F38EE">
      <w:pPr>
        <w:pStyle w:val="AA-3pt"/>
      </w:pPr>
      <w:r>
        <w:t>Government buildings, government vehicles, government grounds/parks, and indoor public places that serve young people.</w:t>
      </w:r>
    </w:p>
    <w:p w14:paraId="51E79649" w14:textId="77777777" w:rsidR="00727204" w:rsidRDefault="00AD15A6" w:rsidP="009F38EE">
      <w:pPr>
        <w:pStyle w:val="AA-3pt"/>
      </w:pPr>
      <w:r>
        <w:t>Community colleges, universities, and colleges.</w:t>
      </w:r>
    </w:p>
    <w:p w14:paraId="047B400D" w14:textId="14105708" w:rsidR="00AD15A6" w:rsidRDefault="00AD15A6" w:rsidP="009F38EE">
      <w:pPr>
        <w:pStyle w:val="AA-3pt"/>
      </w:pPr>
      <w:r>
        <w:t>Public, affordable, and market-rate housing.</w:t>
      </w:r>
    </w:p>
    <w:p w14:paraId="2FF9E451" w14:textId="77777777" w:rsidR="00727204" w:rsidRDefault="00AD15A6" w:rsidP="009F38EE">
      <w:pPr>
        <w:pStyle w:val="AA-3pt"/>
      </w:pPr>
      <w:r>
        <w:t>Local behavioral health treatment facility campuses.</w:t>
      </w:r>
    </w:p>
    <w:p w14:paraId="0B98536F" w14:textId="63D98BBB" w:rsidR="00AD15A6" w:rsidRDefault="00A23DA0" w:rsidP="009F38EE">
      <w:pPr>
        <w:pStyle w:val="AA-3pt"/>
      </w:pPr>
      <w:r>
        <w:t>R</w:t>
      </w:r>
      <w:r w:rsidR="00AD15A6" w:rsidRPr="007F07ED">
        <w:t xml:space="preserve">estaurants and bars </w:t>
      </w:r>
      <w:r w:rsidR="000B36A3">
        <w:t xml:space="preserve">serving individuals under 21 </w:t>
      </w:r>
      <w:r w:rsidR="00AD15A6" w:rsidRPr="007F07ED">
        <w:t xml:space="preserve">adopting policies prohibiting </w:t>
      </w:r>
      <w:r w:rsidR="00AD15A6" w:rsidRPr="00A23DA0">
        <w:t>e</w:t>
      </w:r>
      <w:r>
        <w:noBreakHyphen/>
        <w:t>ci</w:t>
      </w:r>
      <w:r w:rsidR="00AD15A6" w:rsidRPr="00A23DA0">
        <w:t>garette</w:t>
      </w:r>
      <w:r w:rsidR="00AD15A6" w:rsidRPr="007F07ED">
        <w:t xml:space="preserve"> use indoors and/or smoking in outdoor areas.</w:t>
      </w:r>
    </w:p>
    <w:p w14:paraId="06F51DD7" w14:textId="7311A8C0" w:rsidR="00AD15A6" w:rsidRDefault="00AD15A6" w:rsidP="009F38EE">
      <w:pPr>
        <w:pStyle w:val="AA-6pt"/>
      </w:pPr>
      <w:r>
        <w:t>Increase support for limiting</w:t>
      </w:r>
      <w:r w:rsidR="000B36A3">
        <w:t xml:space="preserve"> commercial tobacco</w:t>
      </w:r>
      <w:r>
        <w:t xml:space="preserve"> retailer presence in communities near schools and other </w:t>
      </w:r>
      <w:r w:rsidR="001C46AA">
        <w:t xml:space="preserve">areas </w:t>
      </w:r>
      <w:r>
        <w:t xml:space="preserve">frequented </w:t>
      </w:r>
      <w:r w:rsidR="001C46AA">
        <w:t>by young people</w:t>
      </w:r>
      <w:r>
        <w:t>.</w:t>
      </w:r>
    </w:p>
    <w:p w14:paraId="6D004584" w14:textId="0BDECAAC" w:rsidR="00883A41" w:rsidRDefault="00A07535" w:rsidP="009F38EE">
      <w:pPr>
        <w:pStyle w:val="AA-6pt"/>
      </w:pPr>
      <w:r>
        <w:lastRenderedPageBreak/>
        <w:t xml:space="preserve">Educate stakeholders on the benefits of reducing the </w:t>
      </w:r>
      <w:r w:rsidR="00670FFD" w:rsidRPr="00670FFD">
        <w:t>availability, marketing, and visibility</w:t>
      </w:r>
      <w:r w:rsidR="000B36A3">
        <w:t xml:space="preserve"> of</w:t>
      </w:r>
      <w:r w:rsidR="00670FFD" w:rsidRPr="00670FFD">
        <w:t xml:space="preserve"> commercial tobacco products at the retail point of sale.</w:t>
      </w:r>
    </w:p>
    <w:p w14:paraId="4FD5948F" w14:textId="77777777" w:rsidR="00883A41" w:rsidRDefault="00883A41" w:rsidP="009F38EE">
      <w:pPr>
        <w:pStyle w:val="AA-6pt"/>
      </w:pPr>
      <w:r>
        <w:t>Promote health care system changes to support evidence-based e-cigarette and nicotine dependence cessation and treatment for young people.</w:t>
      </w:r>
    </w:p>
    <w:p w14:paraId="69EE15A7" w14:textId="74894BAF" w:rsidR="00727204" w:rsidRDefault="00491B29" w:rsidP="009F38EE">
      <w:pPr>
        <w:pStyle w:val="AA-6pt"/>
      </w:pPr>
      <w:r>
        <w:t xml:space="preserve">Educate partners on compliance with federal law and the importance of an effective Tobacco 21 state law, including permitting </w:t>
      </w:r>
      <w:r w:rsidR="00276C21">
        <w:t xml:space="preserve">requirements for </w:t>
      </w:r>
      <w:r>
        <w:t>tobacco retailers.</w:t>
      </w:r>
    </w:p>
    <w:p w14:paraId="3815B5E9" w14:textId="449B34C9" w:rsidR="00727204" w:rsidRDefault="00F15710" w:rsidP="009F38EE">
      <w:pPr>
        <w:pStyle w:val="AA-6pt"/>
      </w:pPr>
      <w:r w:rsidRPr="00F15710">
        <w:t>Educat</w:t>
      </w:r>
      <w:r w:rsidR="00161D5D">
        <w:t>e</w:t>
      </w:r>
      <w:r w:rsidRPr="00F15710">
        <w:t xml:space="preserve"> the public and decision-makers on the public health benefits</w:t>
      </w:r>
      <w:r w:rsidR="00276C21">
        <w:t xml:space="preserve"> of tobacco/nicotine product price increases and other evidence-based pricing policies</w:t>
      </w:r>
      <w:r w:rsidRPr="00F15710">
        <w:t>, especially a</w:t>
      </w:r>
      <w:r w:rsidR="00276C21">
        <w:t xml:space="preserve">s they relate to </w:t>
      </w:r>
      <w:r w:rsidRPr="00F15710">
        <w:t xml:space="preserve">young people, and </w:t>
      </w:r>
      <w:r w:rsidR="00276C21">
        <w:t xml:space="preserve">potential </w:t>
      </w:r>
      <w:r w:rsidRPr="00F15710">
        <w:t>revenue generat</w:t>
      </w:r>
      <w:r w:rsidR="00276C21">
        <w:t>ion</w:t>
      </w:r>
      <w:r w:rsidR="006068AE">
        <w:t>.</w:t>
      </w:r>
    </w:p>
    <w:p w14:paraId="2C1E44A7" w14:textId="77777777" w:rsidR="00727204" w:rsidRDefault="00491B29" w:rsidP="009F38EE">
      <w:pPr>
        <w:pStyle w:val="AA-6pt"/>
      </w:pPr>
      <w:r>
        <w:t>Work with state and local partners to maintain support for the North Carolina Smoke-Free Restaurants and Bars Law and preserve the authority granted to local governments to regulate smoking and tobacco use in government buildings, vehicles, grounds, and public places where the public is invited or permitted inside.</w:t>
      </w:r>
    </w:p>
    <w:p w14:paraId="2C271776" w14:textId="33F07DFE" w:rsidR="00990C31" w:rsidRDefault="00990C31" w:rsidP="009F38EE">
      <w:pPr>
        <w:pStyle w:val="AA-6pt"/>
      </w:pPr>
      <w:r w:rsidRPr="00990C31">
        <w:t>Provide consistent, accurate, and evidence-based messaging to stakeholders about the health risks associated with all forms of tobacco and nicotine product use, including new and emerging products such as e-cigarettes.</w:t>
      </w:r>
    </w:p>
    <w:p w14:paraId="04A10268" w14:textId="0D384102" w:rsidR="00573802" w:rsidRDefault="00573802" w:rsidP="009F38EE">
      <w:pPr>
        <w:pStyle w:val="AA-12pt"/>
        <w:numPr>
          <w:ilvl w:val="0"/>
          <w:numId w:val="18"/>
        </w:numPr>
      </w:pPr>
      <w:r w:rsidRPr="00573802">
        <w:rPr>
          <w:b/>
          <w:bCs/>
        </w:rPr>
        <w:t>Develop an annual action plan for the State Fiscal Year 2027-2028</w:t>
      </w:r>
      <w:r>
        <w:t>:</w:t>
      </w:r>
    </w:p>
    <w:p w14:paraId="4D8D62BF" w14:textId="36334F28" w:rsidR="00727204" w:rsidRDefault="00573802" w:rsidP="009F38EE">
      <w:pPr>
        <w:pStyle w:val="AA-12pt"/>
        <w:spacing w:before="0"/>
        <w:ind w:left="1080"/>
      </w:pPr>
      <w:r>
        <w:t>By March 15, 202</w:t>
      </w:r>
      <w:r w:rsidR="00617E56">
        <w:t>7</w:t>
      </w:r>
      <w:r>
        <w:t xml:space="preserve">, the </w:t>
      </w:r>
      <w:r w:rsidR="00727204">
        <w:t xml:space="preserve">LHD </w:t>
      </w:r>
      <w:r>
        <w:t>will submit its first draft of the Fiscal Year 2027-2028 annual action plan to the TPC Branch. The annual action plan template will be sent to the Regional Manager by February 1, 202</w:t>
      </w:r>
      <w:r w:rsidR="00BE1A4E">
        <w:t>7</w:t>
      </w:r>
      <w:r>
        <w:t xml:space="preserve">. This plan should be based on an annual assessment of </w:t>
      </w:r>
      <w:r w:rsidRPr="00F15710">
        <w:t xml:space="preserve">evidence-based </w:t>
      </w:r>
      <w:r w:rsidR="004C350D">
        <w:t>e-</w:t>
      </w:r>
      <w:r w:rsidRPr="00F15710">
        <w:t>cigarette and nicotine dependence prevention and cessation activities conducted across the region</w:t>
      </w:r>
      <w:r w:rsidR="00AD15A6">
        <w:t xml:space="preserve"> and </w:t>
      </w:r>
      <w:r w:rsidR="00AD15A6" w:rsidRPr="00AD15A6">
        <w:t>tailored to community capacity and needs</w:t>
      </w:r>
      <w:r w:rsidR="00AD15A6">
        <w:t>.</w:t>
      </w:r>
      <w:r w:rsidR="00AD15A6" w:rsidRPr="00AD15A6">
        <w:t xml:space="preserve"> The annual action plan shall </w:t>
      </w:r>
      <w:r w:rsidR="00B3588A" w:rsidRPr="00B3588A">
        <w:t>addres</w:t>
      </w:r>
      <w:r w:rsidR="00B3588A">
        <w:t>s</w:t>
      </w:r>
      <w:r w:rsidR="00B3588A" w:rsidRPr="00B3588A">
        <w:t xml:space="preserve"> evidence-based policy, systems and environmental changes supporting e-cigarette and nicotine free norms </w:t>
      </w:r>
      <w:r w:rsidR="00B3588A">
        <w:t xml:space="preserve">and </w:t>
      </w:r>
      <w:r w:rsidR="00AD15A6" w:rsidRPr="00AD15A6">
        <w:t xml:space="preserve">detail the "who, what, when, where, and how” </w:t>
      </w:r>
      <w:r w:rsidR="005918B5">
        <w:t xml:space="preserve">of </w:t>
      </w:r>
      <w:r w:rsidR="00AD15A6" w:rsidRPr="00AD15A6">
        <w:t>program activities.</w:t>
      </w:r>
    </w:p>
    <w:p w14:paraId="03647629" w14:textId="75D976BB" w:rsidR="00727204" w:rsidRDefault="00491B29" w:rsidP="009F38EE">
      <w:pPr>
        <w:pStyle w:val="AA-12pt"/>
        <w:numPr>
          <w:ilvl w:val="0"/>
          <w:numId w:val="18"/>
        </w:numPr>
      </w:pPr>
      <w:r w:rsidRPr="00EC0615">
        <w:rPr>
          <w:b/>
          <w:bCs/>
        </w:rPr>
        <w:t xml:space="preserve">Participate in TPC Branch sponsored meetings </w:t>
      </w:r>
      <w:r>
        <w:t xml:space="preserve">that focus on increasing coordination and building skills among the regional teams to </w:t>
      </w:r>
      <w:r w:rsidR="005918B5">
        <w:t>ameliorate</w:t>
      </w:r>
      <w:r>
        <w:t xml:space="preserve"> the e-cigarette epidemic. This includes virtual and in-person meetings, monthly conference calls and one-on-one meetings, and special events, such as Youth Engagement Learning Labs. Regional Managers will also contribute to the implementation of the TPC Branch Plans and engage in various state-level strategy teams as appropriate. Upon approval by the TPC Branch, funds may be allotted from the budget to attend national conferences including tobacco use prevention and cessation sessions. The </w:t>
      </w:r>
      <w:r w:rsidR="00727204">
        <w:t xml:space="preserve">LHD </w:t>
      </w:r>
      <w:r>
        <w:t>will also be invited to provide input on the technical assistance provided by the TPC Branch through training evaluations.</w:t>
      </w:r>
    </w:p>
    <w:p w14:paraId="3FC559E3" w14:textId="44120C08" w:rsidR="004C49B9" w:rsidRDefault="004C49B9" w:rsidP="006E5E60">
      <w:pPr>
        <w:pStyle w:val="Heading1"/>
      </w:pPr>
      <w:r w:rsidRPr="004C49B9">
        <w:t>I</w:t>
      </w:r>
      <w:r>
        <w:t>V</w:t>
      </w:r>
      <w:r w:rsidRPr="004C49B9">
        <w:t>.</w:t>
      </w:r>
      <w:r w:rsidRPr="004C49B9">
        <w:tab/>
      </w:r>
      <w:r w:rsidRPr="004C49B9">
        <w:rPr>
          <w:u w:val="single"/>
        </w:rPr>
        <w:t>Performance Measures / Reporting Requirements</w:t>
      </w:r>
      <w:r w:rsidRPr="004C49B9">
        <w:t>:</w:t>
      </w:r>
    </w:p>
    <w:p w14:paraId="54366D8D" w14:textId="77777777" w:rsidR="004C350D" w:rsidRPr="004C350D" w:rsidRDefault="00FA4064" w:rsidP="009F38EE">
      <w:pPr>
        <w:pStyle w:val="AA-6pt"/>
        <w:numPr>
          <w:ilvl w:val="0"/>
          <w:numId w:val="10"/>
        </w:numPr>
        <w:rPr>
          <w:b/>
          <w:bCs/>
        </w:rPr>
      </w:pPr>
      <w:r w:rsidRPr="00990C31">
        <w:rPr>
          <w:b/>
          <w:bCs/>
        </w:rPr>
        <w:t>Performance Measure #1</w:t>
      </w:r>
      <w:r w:rsidRPr="00FA4064">
        <w:t>: Evidence the Regional Manager position is maintained.</w:t>
      </w:r>
    </w:p>
    <w:p w14:paraId="5F8DFCA5" w14:textId="3CD1B5C0" w:rsidR="00FA4064" w:rsidRPr="00990C31" w:rsidRDefault="00FA4064" w:rsidP="009F38EE">
      <w:pPr>
        <w:pStyle w:val="AA-Normal3pt"/>
        <w:ind w:left="1080"/>
      </w:pPr>
      <w:r w:rsidRPr="00990C31">
        <w:t>Performance Indicators:</w:t>
      </w:r>
    </w:p>
    <w:p w14:paraId="652224F3" w14:textId="08497D8C" w:rsidR="00FA4064" w:rsidRPr="00FA4064" w:rsidRDefault="00FA4064" w:rsidP="00CF2235">
      <w:pPr>
        <w:pStyle w:val="AA-6pt"/>
        <w:spacing w:before="0"/>
      </w:pPr>
      <w:r w:rsidRPr="00FA4064">
        <w:t>Regional Manager position is filled by June 1, 202</w:t>
      </w:r>
      <w:r w:rsidR="00B74F5D">
        <w:t>6</w:t>
      </w:r>
      <w:r w:rsidRPr="00FA4064">
        <w:t>.</w:t>
      </w:r>
    </w:p>
    <w:p w14:paraId="69F06467" w14:textId="3B8F4821" w:rsidR="00FA4064" w:rsidRPr="00FA4064" w:rsidRDefault="00BD4EF7" w:rsidP="009F38EE">
      <w:pPr>
        <w:pStyle w:val="AA-6pt"/>
      </w:pPr>
      <w:r w:rsidRPr="00FA4064">
        <w:t>Notifications</w:t>
      </w:r>
      <w:r w:rsidR="00FA4064" w:rsidRPr="00FA4064">
        <w:t xml:space="preserve"> of vacancies are sent to TPC Branch within 7 days</w:t>
      </w:r>
      <w:r w:rsidR="00FF7212">
        <w:t xml:space="preserve"> of effective date</w:t>
      </w:r>
      <w:r w:rsidR="00FA4064" w:rsidRPr="00FA4064">
        <w:t>.</w:t>
      </w:r>
    </w:p>
    <w:p w14:paraId="4648B35C" w14:textId="513341F1" w:rsidR="00FA4064" w:rsidRPr="00FA4064" w:rsidRDefault="00FA4064" w:rsidP="00CF2235">
      <w:pPr>
        <w:pStyle w:val="AA-12pt"/>
        <w:keepNext/>
        <w:numPr>
          <w:ilvl w:val="0"/>
          <w:numId w:val="10"/>
        </w:numPr>
        <w:rPr>
          <w:b/>
          <w:bCs/>
        </w:rPr>
      </w:pPr>
      <w:r w:rsidRPr="00FA4064">
        <w:rPr>
          <w:b/>
          <w:bCs/>
        </w:rPr>
        <w:t xml:space="preserve">Performance Measure #2: </w:t>
      </w:r>
      <w:r w:rsidRPr="00FA4064">
        <w:t>Evidence that the Regional Leadership Team is maintained.</w:t>
      </w:r>
    </w:p>
    <w:p w14:paraId="6E15B87F" w14:textId="77777777" w:rsidR="00FA4064" w:rsidRPr="00FA4064" w:rsidRDefault="00FA4064" w:rsidP="00CF2235">
      <w:pPr>
        <w:pStyle w:val="AA-12pt"/>
        <w:keepNext/>
        <w:spacing w:before="120"/>
        <w:ind w:left="1080"/>
      </w:pPr>
      <w:r w:rsidRPr="00FA4064">
        <w:t>Performance Indicators:</w:t>
      </w:r>
    </w:p>
    <w:p w14:paraId="5C6F4EE4" w14:textId="3C3FC55F" w:rsidR="00FA4064" w:rsidRPr="00FA4064" w:rsidRDefault="00FA4064" w:rsidP="00CF2235">
      <w:pPr>
        <w:pStyle w:val="AA-6pt"/>
        <w:numPr>
          <w:ilvl w:val="0"/>
          <w:numId w:val="11"/>
        </w:numPr>
        <w:spacing w:before="0"/>
      </w:pPr>
      <w:r w:rsidRPr="00FA4064">
        <w:t>Multilevel Regional Leadership Team meets or is provided with updates routinely and TPC Branch staff can convene meetings with the Regional Leadership Team when necessary.</w:t>
      </w:r>
    </w:p>
    <w:p w14:paraId="72CA49B4" w14:textId="36CBD521" w:rsidR="00FA4064" w:rsidRPr="00FA4064" w:rsidRDefault="00FA4064" w:rsidP="009F38EE">
      <w:pPr>
        <w:pStyle w:val="AA-6pt"/>
        <w:numPr>
          <w:ilvl w:val="0"/>
          <w:numId w:val="11"/>
        </w:numPr>
      </w:pPr>
      <w:r w:rsidRPr="00FA4064">
        <w:lastRenderedPageBreak/>
        <w:t xml:space="preserve">Regional Manager and Local Health Directors in the region communicate regularly on strategies through meetings, emails, and/or conference calls, and </w:t>
      </w:r>
      <w:r w:rsidR="00D34DF7">
        <w:t xml:space="preserve">are </w:t>
      </w:r>
      <w:r w:rsidRPr="00FA4064">
        <w:t xml:space="preserve">documented in the TPC Branch </w:t>
      </w:r>
      <w:r w:rsidR="00D34DF7">
        <w:t>Quarterly</w:t>
      </w:r>
      <w:r w:rsidR="00D34DF7" w:rsidRPr="00FA4064">
        <w:t xml:space="preserve"> </w:t>
      </w:r>
      <w:r w:rsidRPr="00FA4064">
        <w:t>Performance Report.</w:t>
      </w:r>
    </w:p>
    <w:p w14:paraId="557A6D6F" w14:textId="6EE75054" w:rsidR="00FA4064" w:rsidRPr="00FA4064" w:rsidRDefault="00FA4064" w:rsidP="009F38EE">
      <w:pPr>
        <w:pStyle w:val="AA-12pt"/>
        <w:keepNext/>
        <w:numPr>
          <w:ilvl w:val="0"/>
          <w:numId w:val="10"/>
        </w:numPr>
      </w:pPr>
      <w:r w:rsidRPr="00FA4064">
        <w:rPr>
          <w:b/>
          <w:bCs/>
        </w:rPr>
        <w:t>Performance Measure #3</w:t>
      </w:r>
      <w:r w:rsidRPr="00FA4064">
        <w:t>: Evidence that</w:t>
      </w:r>
      <w:r w:rsidRPr="00FA4064">
        <w:rPr>
          <w:b/>
          <w:bCs/>
        </w:rPr>
        <w:t xml:space="preserve"> </w:t>
      </w:r>
      <w:r w:rsidRPr="00FA4064">
        <w:t>the Regional Collaborative is maintained.</w:t>
      </w:r>
    </w:p>
    <w:p w14:paraId="1DBCD845" w14:textId="77777777" w:rsidR="00727204" w:rsidRDefault="00FA4064" w:rsidP="009F38EE">
      <w:pPr>
        <w:pStyle w:val="AA-12pt"/>
        <w:spacing w:before="120"/>
        <w:ind w:left="1080"/>
      </w:pPr>
      <w:r w:rsidRPr="00FA4064">
        <w:t>Performance Indicators:</w:t>
      </w:r>
    </w:p>
    <w:p w14:paraId="28E93100" w14:textId="4015C1E9" w:rsidR="00FA4064" w:rsidRPr="00FA4064" w:rsidRDefault="00FA4064" w:rsidP="00CF2235">
      <w:pPr>
        <w:pStyle w:val="AA-6pt"/>
        <w:spacing w:before="0"/>
      </w:pPr>
      <w:r w:rsidRPr="00FA4064">
        <w:t>Regional Collaborative, including networked partnerships (defined as strategic partnerships at all levels, e.g., state, regional, local), is maintained by October 1, 202</w:t>
      </w:r>
      <w:r w:rsidR="00E650B2">
        <w:t>6</w:t>
      </w:r>
      <w:r w:rsidRPr="00FA4064">
        <w:t>.</w:t>
      </w:r>
    </w:p>
    <w:p w14:paraId="64D4BCCD" w14:textId="5685568B" w:rsidR="00161D5D" w:rsidRDefault="00161D5D" w:rsidP="009F38EE">
      <w:pPr>
        <w:pStyle w:val="AA-6pt"/>
      </w:pPr>
      <w:r w:rsidRPr="00161D5D">
        <w:t xml:space="preserve">Regional Manager works with community partners </w:t>
      </w:r>
      <w:r w:rsidR="00D34DF7">
        <w:t xml:space="preserve">in the Regional Collaborative </w:t>
      </w:r>
      <w:r w:rsidRPr="00161D5D">
        <w:t xml:space="preserve">to develop </w:t>
      </w:r>
      <w:r>
        <w:t>a</w:t>
      </w:r>
      <w:r w:rsidRPr="00161D5D">
        <w:t xml:space="preserve">nnual </w:t>
      </w:r>
      <w:r>
        <w:t>a</w:t>
      </w:r>
      <w:r w:rsidRPr="00161D5D">
        <w:t xml:space="preserve">ction </w:t>
      </w:r>
      <w:r>
        <w:t>p</w:t>
      </w:r>
      <w:r w:rsidRPr="00161D5D">
        <w:t xml:space="preserve">lan </w:t>
      </w:r>
      <w:r>
        <w:t>s</w:t>
      </w:r>
      <w:r w:rsidRPr="00161D5D">
        <w:t>trategies to reach and engage priority populations in the planning, implementation, and/or evaluation of at least one strategy</w:t>
      </w:r>
      <w:r>
        <w:t>.</w:t>
      </w:r>
    </w:p>
    <w:p w14:paraId="29FCC9B3" w14:textId="7B2DF043" w:rsidR="00FA4064" w:rsidRPr="00FA4064" w:rsidRDefault="00FA4064" w:rsidP="009F38EE">
      <w:pPr>
        <w:pStyle w:val="AA-6pt"/>
      </w:pPr>
      <w:r w:rsidRPr="00FA4064">
        <w:t xml:space="preserve">Meeting minutes and attendance records </w:t>
      </w:r>
      <w:r w:rsidR="00276C21">
        <w:t xml:space="preserve">that </w:t>
      </w:r>
      <w:r w:rsidRPr="00FA4064">
        <w:t>reflect that the Regional Collaborative meets at least quarterly (in</w:t>
      </w:r>
      <w:r w:rsidR="00D34DF7">
        <w:t xml:space="preserve"> </w:t>
      </w:r>
      <w:r w:rsidRPr="00FA4064">
        <w:t xml:space="preserve">person or </w:t>
      </w:r>
      <w:r w:rsidR="00D34DF7">
        <w:t xml:space="preserve">in </w:t>
      </w:r>
      <w:r w:rsidRPr="00FA4064">
        <w:t>conference calls).</w:t>
      </w:r>
    </w:p>
    <w:p w14:paraId="4D4942AE" w14:textId="77777777" w:rsidR="00727204" w:rsidRDefault="00FA4064" w:rsidP="009F38EE">
      <w:pPr>
        <w:pStyle w:val="AA-6pt"/>
      </w:pPr>
      <w:r w:rsidRPr="00FA4064">
        <w:t>Correspondence with TPC Branch reflects that staff have been notified of Regional Collaborative meetings, training</w:t>
      </w:r>
      <w:r w:rsidR="00BD4EF7">
        <w:t xml:space="preserve"> session</w:t>
      </w:r>
      <w:r w:rsidRPr="00FA4064">
        <w:t>s, and events.</w:t>
      </w:r>
    </w:p>
    <w:p w14:paraId="363A861B" w14:textId="364D1D03" w:rsidR="00161D5D" w:rsidRPr="00FA4064" w:rsidRDefault="00161D5D" w:rsidP="009F38EE">
      <w:pPr>
        <w:pStyle w:val="AA-6pt"/>
      </w:pPr>
      <w:r w:rsidRPr="00161D5D">
        <w:t>Number of you</w:t>
      </w:r>
      <w:r w:rsidR="00BD4EF7">
        <w:t xml:space="preserve">ng people </w:t>
      </w:r>
      <w:r w:rsidRPr="00161D5D">
        <w:t xml:space="preserve">recruited and actively engaged in </w:t>
      </w:r>
      <w:r w:rsidR="00BD4EF7">
        <w:t>Regional C</w:t>
      </w:r>
      <w:r w:rsidRPr="00161D5D">
        <w:t>ollaborative or youth advisory group meetings</w:t>
      </w:r>
      <w:r>
        <w:t>.</w:t>
      </w:r>
    </w:p>
    <w:p w14:paraId="447F8E4A" w14:textId="2F43C18A" w:rsidR="00727204" w:rsidRDefault="00FA4064" w:rsidP="009F38EE">
      <w:pPr>
        <w:pStyle w:val="AA-12pt"/>
        <w:numPr>
          <w:ilvl w:val="0"/>
          <w:numId w:val="10"/>
        </w:numPr>
        <w:rPr>
          <w:b/>
          <w:bCs/>
        </w:rPr>
      </w:pPr>
      <w:r w:rsidRPr="00FA4064">
        <w:rPr>
          <w:b/>
          <w:bCs/>
        </w:rPr>
        <w:t xml:space="preserve">Performance Measure #4: </w:t>
      </w:r>
      <w:r w:rsidRPr="00FA4064">
        <w:t>Evidence of increased implementation and enforcement of interventions and strategies that support quitting, reduce exposure to secondhand smoke</w:t>
      </w:r>
      <w:r w:rsidR="00276C21">
        <w:t>/</w:t>
      </w:r>
      <w:proofErr w:type="gramStart"/>
      <w:r w:rsidR="00276C21">
        <w:t>aerosol</w:t>
      </w:r>
      <w:r w:rsidRPr="00FA4064">
        <w:t xml:space="preserve">  and</w:t>
      </w:r>
      <w:proofErr w:type="gramEnd"/>
      <w:r w:rsidRPr="00FA4064">
        <w:t xml:space="preserve"> decrease access and availability of tobacco products.</w:t>
      </w:r>
      <w:r w:rsidR="00727204">
        <w:rPr>
          <w:b/>
          <w:bCs/>
        </w:rPr>
        <w:t xml:space="preserve"> </w:t>
      </w:r>
    </w:p>
    <w:p w14:paraId="7DBC479E" w14:textId="0E8FFA3C" w:rsidR="00FA4064" w:rsidRPr="00FA4064" w:rsidRDefault="00FA4064" w:rsidP="009F38EE">
      <w:pPr>
        <w:pStyle w:val="AA-12pt"/>
        <w:spacing w:before="120"/>
        <w:ind w:left="1080"/>
      </w:pPr>
      <w:r w:rsidRPr="00FA4064">
        <w:t>Performance Indicators:</w:t>
      </w:r>
    </w:p>
    <w:p w14:paraId="4A73FD9F" w14:textId="26CC17F7" w:rsidR="00276C21" w:rsidRDefault="00276C21" w:rsidP="00CF2235">
      <w:pPr>
        <w:pStyle w:val="AA-6pt"/>
        <w:spacing w:before="0"/>
      </w:pPr>
      <w:r>
        <w:t xml:space="preserve">Number </w:t>
      </w:r>
      <w:proofErr w:type="gramStart"/>
      <w:r>
        <w:t xml:space="preserve">of </w:t>
      </w:r>
      <w:r w:rsidR="00FA4064" w:rsidRPr="00FA4064">
        <w:t xml:space="preserve"> schools</w:t>
      </w:r>
      <w:proofErr w:type="gramEnd"/>
      <w:r w:rsidR="00FA4064" w:rsidRPr="00FA4064">
        <w:t xml:space="preserve"> and school systems to</w:t>
      </w:r>
      <w:r w:rsidR="00990C31" w:rsidRPr="00990C31">
        <w:t xml:space="preserve"> </w:t>
      </w:r>
      <w:r>
        <w:t xml:space="preserve">that </w:t>
      </w:r>
      <w:r w:rsidR="00990C31" w:rsidRPr="00990C31">
        <w:t>implement</w:t>
      </w:r>
    </w:p>
    <w:p w14:paraId="52157490" w14:textId="1144E0C2" w:rsidR="00276C21" w:rsidRDefault="00276C21" w:rsidP="00276C21">
      <w:pPr>
        <w:pStyle w:val="AA-3pt"/>
      </w:pPr>
      <w:r>
        <w:t>A</w:t>
      </w:r>
      <w:r w:rsidR="00990C31" w:rsidRPr="00990C31">
        <w:t>ge-appropriate evidence-based nicotine, e-cigarette, and tobacco prevention education programs for all students;</w:t>
      </w:r>
    </w:p>
    <w:p w14:paraId="340C66E1" w14:textId="1A6F2EDF" w:rsidR="00276C21" w:rsidRDefault="00276C21" w:rsidP="00276C21">
      <w:pPr>
        <w:pStyle w:val="AA-3pt"/>
      </w:pPr>
      <w:r>
        <w:t>N</w:t>
      </w:r>
      <w:r w:rsidR="00990C31" w:rsidRPr="00990C31">
        <w:t xml:space="preserve">on-punitive, evidence-based alternatives to suspension programs for students who violate tobacco-free policies: and </w:t>
      </w:r>
    </w:p>
    <w:p w14:paraId="37597031" w14:textId="27FAF9E2" w:rsidR="00990C31" w:rsidRPr="00990C31" w:rsidRDefault="00276C21" w:rsidP="007548DD">
      <w:pPr>
        <w:pStyle w:val="AA-3pt"/>
      </w:pPr>
      <w:r>
        <w:t>L</w:t>
      </w:r>
      <w:r w:rsidR="00990C31" w:rsidRPr="00990C31">
        <w:t>inks to youth-appropriate cessation resources for those struggling with nicotine or vaping addiction.</w:t>
      </w:r>
    </w:p>
    <w:p w14:paraId="196C7C4B" w14:textId="3665E3EC" w:rsidR="00990C31" w:rsidRPr="00990C31" w:rsidRDefault="00990C31" w:rsidP="009F38EE">
      <w:pPr>
        <w:pStyle w:val="AA-6pt"/>
      </w:pPr>
      <w:r w:rsidRPr="00FA4064">
        <w:t xml:space="preserve">Number </w:t>
      </w:r>
      <w:r w:rsidR="005148DA">
        <w:t xml:space="preserve">and names </w:t>
      </w:r>
      <w:r w:rsidRPr="00FA4064">
        <w:t xml:space="preserve">of organizations </w:t>
      </w:r>
      <w:r>
        <w:t xml:space="preserve">that </w:t>
      </w:r>
      <w:r w:rsidR="005148DA">
        <w:t>actively engage youth in evidence-based commercial tobacco prevention strategies and activities</w:t>
      </w:r>
      <w:r w:rsidRPr="00990C31">
        <w:t>, including e-cigarettes and emerging tobacco/nicotine products.</w:t>
      </w:r>
    </w:p>
    <w:p w14:paraId="785DBF24" w14:textId="5B615C0D" w:rsidR="007F07ED" w:rsidRPr="007F07ED" w:rsidRDefault="007F07ED" w:rsidP="009F38EE">
      <w:pPr>
        <w:pStyle w:val="AA-6pt"/>
      </w:pPr>
      <w:r>
        <w:t xml:space="preserve">Number of </w:t>
      </w:r>
      <w:r w:rsidR="00276C21">
        <w:t xml:space="preserve">100% tobacco-free policies adopted by </w:t>
      </w:r>
      <w:r>
        <w:t>g</w:t>
      </w:r>
      <w:r w:rsidRPr="007F07ED">
        <w:t>overnment buildings, government vehicles, government grounds/parks, and indoor public places that serve young people.</w:t>
      </w:r>
    </w:p>
    <w:p w14:paraId="1D71DE02" w14:textId="38AC346F" w:rsidR="007F07ED" w:rsidRPr="00FA4064" w:rsidRDefault="007F07ED" w:rsidP="009F38EE">
      <w:pPr>
        <w:pStyle w:val="AA-6pt"/>
      </w:pPr>
      <w:r w:rsidRPr="00FA4064">
        <w:t xml:space="preserve">Number of </w:t>
      </w:r>
      <w:r w:rsidR="00990C31">
        <w:t xml:space="preserve">100% </w:t>
      </w:r>
      <w:r w:rsidR="00990C31" w:rsidRPr="00FA4064">
        <w:t>tobacco-free policies (including e-cigarettes</w:t>
      </w:r>
      <w:r w:rsidR="00276C21">
        <w:t>/vape devices</w:t>
      </w:r>
      <w:r w:rsidR="00990C31" w:rsidRPr="00FA4064">
        <w:t>)</w:t>
      </w:r>
      <w:r w:rsidR="00990C31">
        <w:t xml:space="preserve"> adopted by </w:t>
      </w:r>
      <w:r w:rsidR="00990C31" w:rsidRPr="00FA4064">
        <w:t>colleges, universities, and community colleges</w:t>
      </w:r>
      <w:r w:rsidRPr="00FA4064">
        <w:t>.</w:t>
      </w:r>
    </w:p>
    <w:p w14:paraId="4E6B339C" w14:textId="77777777" w:rsidR="00B67945" w:rsidRPr="00FA4064" w:rsidRDefault="00B67945" w:rsidP="009F38EE">
      <w:pPr>
        <w:pStyle w:val="AA-6pt"/>
      </w:pPr>
      <w:r w:rsidRPr="00FA4064">
        <w:t>Number of multi-unit housing properties that have new comprehensive smoke-free policies.</w:t>
      </w:r>
    </w:p>
    <w:p w14:paraId="2E7126AF" w14:textId="696DC93A" w:rsidR="007F07ED" w:rsidRDefault="007F07ED" w:rsidP="009F38EE">
      <w:pPr>
        <w:pStyle w:val="AA-6pt"/>
      </w:pPr>
      <w:r w:rsidRPr="00FA4064">
        <w:t>Number of new smoke-free/tobacco-free policies (including e-cigarettes</w:t>
      </w:r>
      <w:r w:rsidR="00276C21">
        <w:t>/vape devices</w:t>
      </w:r>
      <w:r w:rsidRPr="00FA4064">
        <w:t xml:space="preserve">) adopted for local mental health facilities and substance use disorder facilities that serve </w:t>
      </w:r>
      <w:r w:rsidR="001C46AA">
        <w:t>young people</w:t>
      </w:r>
      <w:r w:rsidRPr="00FA4064">
        <w:t>.</w:t>
      </w:r>
    </w:p>
    <w:p w14:paraId="7C3CC3C3" w14:textId="27F0CCF1" w:rsidR="00990C31" w:rsidRPr="00990C31" w:rsidRDefault="00990C31" w:rsidP="009F38EE">
      <w:pPr>
        <w:pStyle w:val="AA-6pt"/>
      </w:pPr>
      <w:r w:rsidRPr="00990C31">
        <w:t>Number of new restaurants and bars adopting policies prohibiting e-cigarette</w:t>
      </w:r>
      <w:r w:rsidR="00276C21">
        <w:t>/vape devices</w:t>
      </w:r>
      <w:r w:rsidRPr="00990C31">
        <w:t xml:space="preserve"> use indoors and/or smoking in outdoor areas.</w:t>
      </w:r>
    </w:p>
    <w:p w14:paraId="7447E2E3" w14:textId="3538263F" w:rsidR="0056697A" w:rsidRDefault="0056697A" w:rsidP="0056697A">
      <w:pPr>
        <w:pStyle w:val="AA-6pt"/>
      </w:pPr>
      <w:r>
        <w:t>Number of presentations to health care professionals on evidence-based nicotine dependence cessation and treatment for young people.</w:t>
      </w:r>
    </w:p>
    <w:p w14:paraId="48FE15E0" w14:textId="402CAD58" w:rsidR="000D123E" w:rsidRDefault="00655F71" w:rsidP="009F38EE">
      <w:pPr>
        <w:pStyle w:val="AA-6pt"/>
      </w:pPr>
      <w:r w:rsidRPr="00655F71">
        <w:t xml:space="preserve">Number </w:t>
      </w:r>
      <w:r w:rsidR="00276C21">
        <w:t xml:space="preserve">of </w:t>
      </w:r>
      <w:r w:rsidR="00B3588A">
        <w:t>p</w:t>
      </w:r>
      <w:r w:rsidRPr="00655F71">
        <w:t>resentations, mentions, or media messages to educate and inform</w:t>
      </w:r>
      <w:r w:rsidR="000D123E">
        <w:t>:</w:t>
      </w:r>
    </w:p>
    <w:p w14:paraId="7E9858C1" w14:textId="65A054D1" w:rsidR="00655F71" w:rsidRDefault="000D123E" w:rsidP="008E6E64">
      <w:pPr>
        <w:pStyle w:val="AA-3pt"/>
      </w:pPr>
      <w:r>
        <w:lastRenderedPageBreak/>
        <w:t>O</w:t>
      </w:r>
      <w:r w:rsidR="00962F97">
        <w:t xml:space="preserve">n </w:t>
      </w:r>
      <w:r w:rsidR="00655F71">
        <w:t xml:space="preserve">limiting retailer presence in communities near schools and other </w:t>
      </w:r>
      <w:r w:rsidR="00BD4EF7">
        <w:t xml:space="preserve">areas </w:t>
      </w:r>
      <w:r w:rsidR="00655F71">
        <w:t xml:space="preserve">frequented </w:t>
      </w:r>
      <w:r w:rsidR="00BD4EF7">
        <w:t>by young people</w:t>
      </w:r>
      <w:r w:rsidR="00655F71">
        <w:t>.</w:t>
      </w:r>
    </w:p>
    <w:p w14:paraId="3591E810" w14:textId="2170EFCF" w:rsidR="00655F71" w:rsidRDefault="000D123E" w:rsidP="008E6E64">
      <w:pPr>
        <w:pStyle w:val="AA-3pt"/>
      </w:pPr>
      <w:r>
        <w:t>S</w:t>
      </w:r>
      <w:r w:rsidR="00655F71">
        <w:t xml:space="preserve">takeholders on the benefits of reducing the availability, marketing, and visibility </w:t>
      </w:r>
      <w:r w:rsidR="00BD4EF7">
        <w:t xml:space="preserve">of </w:t>
      </w:r>
      <w:r w:rsidR="00655F71">
        <w:t>commercial tobacco products at the retail point of sale.</w:t>
      </w:r>
    </w:p>
    <w:p w14:paraId="63861AC3" w14:textId="6D6436B8" w:rsidR="00727204" w:rsidRDefault="000D123E" w:rsidP="008E6E64">
      <w:pPr>
        <w:pStyle w:val="AA-3pt"/>
      </w:pPr>
      <w:r>
        <w:t>P</w:t>
      </w:r>
      <w:r w:rsidR="00655F71">
        <w:t>artners on compliance with federal law and the importance of an effective Tobacco 21 state law, including permitting tobacco retailers.</w:t>
      </w:r>
    </w:p>
    <w:p w14:paraId="445B5017" w14:textId="56B27B84" w:rsidR="00727204" w:rsidRDefault="000D123E" w:rsidP="008E6E64">
      <w:pPr>
        <w:pStyle w:val="AA-3pt"/>
      </w:pPr>
      <w:r>
        <w:t>T</w:t>
      </w:r>
      <w:r w:rsidR="00655F71">
        <w:t>he public and decision-makers on the public health benefits, especially among young people, and the revenues generated by tobacco/nicotine product price increases.</w:t>
      </w:r>
    </w:p>
    <w:p w14:paraId="1F3810CA" w14:textId="62719E95" w:rsidR="00727204" w:rsidRDefault="00276C21" w:rsidP="009F38EE">
      <w:pPr>
        <w:pStyle w:val="AA-6pt"/>
      </w:pPr>
      <w:r>
        <w:t>Evidence of w</w:t>
      </w:r>
      <w:r w:rsidR="00655F71">
        <w:t>ork with state and local partners to maintain support for the North Carolina Smoke-Free Restaurants and Bars Law and preserve the authority granted to local governments to regulate smoking and tobacco use in government buildings, vehicles, grounds, and public places where the public is invited or permitted inside.</w:t>
      </w:r>
    </w:p>
    <w:p w14:paraId="3C2B0E83" w14:textId="7DE5B670" w:rsidR="00FA4064" w:rsidRPr="00883A41" w:rsidRDefault="00FA4064" w:rsidP="009F38EE">
      <w:pPr>
        <w:pStyle w:val="AA-12pt"/>
        <w:numPr>
          <w:ilvl w:val="0"/>
          <w:numId w:val="10"/>
        </w:numPr>
        <w:rPr>
          <w:b/>
          <w:bCs/>
        </w:rPr>
      </w:pPr>
      <w:r w:rsidRPr="00FA4064">
        <w:rPr>
          <w:b/>
          <w:bCs/>
        </w:rPr>
        <w:t>Performance Measure #</w:t>
      </w:r>
      <w:r w:rsidR="00655F71">
        <w:rPr>
          <w:b/>
          <w:bCs/>
        </w:rPr>
        <w:t>5</w:t>
      </w:r>
      <w:r w:rsidRPr="00FA4064">
        <w:rPr>
          <w:b/>
          <w:bCs/>
        </w:rPr>
        <w:t xml:space="preserve">: </w:t>
      </w:r>
      <w:r w:rsidRPr="00FA4064">
        <w:t>Evidence that staff provided consistent and evidence-based messages about the health risks for all tobacco and nicotine product use</w:t>
      </w:r>
      <w:r w:rsidR="00276C21">
        <w:t xml:space="preserve"> among young people</w:t>
      </w:r>
      <w:r w:rsidRPr="00FA4064">
        <w:t>. This includes new and emerging tobacco products, and exposure to secondhand smoke</w:t>
      </w:r>
      <w:r w:rsidR="00276C21">
        <w:t>/aerosol</w:t>
      </w:r>
      <w:r w:rsidRPr="00FA4064">
        <w:t>.</w:t>
      </w:r>
      <w:r w:rsidR="00883A41">
        <w:rPr>
          <w:b/>
          <w:bCs/>
        </w:rPr>
        <w:t xml:space="preserve"> </w:t>
      </w:r>
      <w:r w:rsidR="00883A41" w:rsidRPr="00883A41">
        <w:t>Information should align with nation</w:t>
      </w:r>
      <w:r w:rsidR="00883A41">
        <w:t>al</w:t>
      </w:r>
      <w:r w:rsidR="00883A41" w:rsidRPr="00883A41">
        <w:t xml:space="preserve"> resources and scientific reports.</w:t>
      </w:r>
    </w:p>
    <w:p w14:paraId="5AD878DA" w14:textId="77777777" w:rsidR="00FA4064" w:rsidRPr="00FA4064" w:rsidRDefault="00FA4064" w:rsidP="009F38EE">
      <w:pPr>
        <w:pStyle w:val="AA-12pt"/>
        <w:spacing w:before="120"/>
        <w:ind w:left="1080"/>
      </w:pPr>
      <w:r w:rsidRPr="00FA4064">
        <w:t>Performance Indicators:</w:t>
      </w:r>
    </w:p>
    <w:p w14:paraId="3DA1250D" w14:textId="64C4F78F" w:rsidR="00FA4064" w:rsidRPr="00DB5BF8" w:rsidRDefault="00FA4064" w:rsidP="00CF2235">
      <w:pPr>
        <w:pStyle w:val="AA-6pt"/>
        <w:spacing w:before="0"/>
      </w:pPr>
      <w:r w:rsidRPr="00DB5BF8">
        <w:t xml:space="preserve">Number of tobacco-related pro-health opinion articles, such as editorials, letters-to-the-editor, and op-ed pieces. </w:t>
      </w:r>
    </w:p>
    <w:p w14:paraId="33AD57BB" w14:textId="77777777" w:rsidR="00727204" w:rsidRDefault="00FA4064" w:rsidP="009F38EE">
      <w:pPr>
        <w:pStyle w:val="AA-6pt"/>
      </w:pPr>
      <w:r w:rsidRPr="00DB5BF8">
        <w:t>Number of paid and earned media efforts targeting populations or areas with high concentrations of tobacco/nicotine use and chronic disease.</w:t>
      </w:r>
    </w:p>
    <w:p w14:paraId="7C97B072" w14:textId="77777777" w:rsidR="00727204" w:rsidRDefault="00FA4064" w:rsidP="009F38EE">
      <w:pPr>
        <w:pStyle w:val="AA-6pt"/>
      </w:pPr>
      <w:r w:rsidRPr="00DB5BF8">
        <w:t>Number of social media activities used to complement traditional paid and earned media efforts.</w:t>
      </w:r>
    </w:p>
    <w:p w14:paraId="0665A688" w14:textId="1C0B67BE" w:rsidR="00FA4064" w:rsidRPr="00DB5BF8" w:rsidRDefault="00FA4064" w:rsidP="009F38EE">
      <w:pPr>
        <w:pStyle w:val="AA-6pt"/>
      </w:pPr>
      <w:r w:rsidRPr="00DB5BF8">
        <w:t>Number of people reached by social media activities (impressions).</w:t>
      </w:r>
    </w:p>
    <w:p w14:paraId="04B26954" w14:textId="77777777" w:rsidR="00FA4064" w:rsidRPr="00DB5BF8" w:rsidRDefault="00FA4064" w:rsidP="009F38EE">
      <w:pPr>
        <w:pStyle w:val="AA-6pt"/>
      </w:pPr>
      <w:r w:rsidRPr="00DB5BF8">
        <w:t>Number of success stories created and distributed.</w:t>
      </w:r>
    </w:p>
    <w:p w14:paraId="752A9CEA" w14:textId="77777777" w:rsidR="00FA4064" w:rsidRDefault="00FA4064" w:rsidP="009F38EE">
      <w:pPr>
        <w:pStyle w:val="AA-6pt"/>
      </w:pPr>
      <w:r w:rsidRPr="00DB5BF8">
        <w:t>Number of email blasts, newsletter articles or factoids that educate the public or decision makers on the health risks of tobacco and emerging tobacco products.</w:t>
      </w:r>
    </w:p>
    <w:p w14:paraId="38C6F021" w14:textId="778C1A00" w:rsidR="00655F71" w:rsidRPr="00FA4064" w:rsidRDefault="00655F71" w:rsidP="009F38EE">
      <w:pPr>
        <w:pStyle w:val="AA-12pt"/>
        <w:numPr>
          <w:ilvl w:val="0"/>
          <w:numId w:val="10"/>
        </w:numPr>
        <w:rPr>
          <w:b/>
          <w:bCs/>
        </w:rPr>
      </w:pPr>
      <w:r w:rsidRPr="00FA4064">
        <w:rPr>
          <w:b/>
          <w:bCs/>
        </w:rPr>
        <w:t>Performance Measure #</w:t>
      </w:r>
      <w:r w:rsidR="00B3588A">
        <w:rPr>
          <w:b/>
          <w:bCs/>
        </w:rPr>
        <w:t>6</w:t>
      </w:r>
      <w:r w:rsidRPr="00FA4064">
        <w:rPr>
          <w:b/>
          <w:bCs/>
        </w:rPr>
        <w:t xml:space="preserve">: </w:t>
      </w:r>
      <w:r w:rsidRPr="00FA4064">
        <w:t xml:space="preserve">Annual action plan </w:t>
      </w:r>
      <w:r w:rsidR="00617E56">
        <w:t xml:space="preserve">for Fiscal Year 2027-2028 </w:t>
      </w:r>
      <w:r w:rsidRPr="00FA4064">
        <w:t>addressing evidence-based policy, systems and environmental changes supporting e</w:t>
      </w:r>
      <w:r w:rsidR="004C350D">
        <w:t>-</w:t>
      </w:r>
      <w:r w:rsidRPr="00FA4064">
        <w:t>cigarette and nicotine free norms is submitted to TPC Branch by March 15, 202</w:t>
      </w:r>
      <w:r w:rsidR="00617E56">
        <w:t>7</w:t>
      </w:r>
      <w:r w:rsidRPr="00FA4064">
        <w:t>.</w:t>
      </w:r>
    </w:p>
    <w:p w14:paraId="42F6FE26" w14:textId="77777777" w:rsidR="00655F71" w:rsidRPr="00FA4064" w:rsidRDefault="00655F71" w:rsidP="009F38EE">
      <w:pPr>
        <w:pStyle w:val="AA-12pt"/>
        <w:spacing w:before="120"/>
        <w:ind w:left="1080"/>
      </w:pPr>
      <w:r w:rsidRPr="00FA4064">
        <w:t>Performance Indicators</w:t>
      </w:r>
    </w:p>
    <w:p w14:paraId="1880E1AE" w14:textId="77777777" w:rsidR="00655F71" w:rsidRPr="00FA4064" w:rsidRDefault="00655F71" w:rsidP="00CF2235">
      <w:pPr>
        <w:pStyle w:val="AA-6pt"/>
        <w:spacing w:before="0"/>
      </w:pPr>
      <w:r w:rsidRPr="00FA4064">
        <w:t>The draft annual action plan is submitted by the required deadline.</w:t>
      </w:r>
    </w:p>
    <w:p w14:paraId="0DCBBE0B" w14:textId="77777777" w:rsidR="00727204" w:rsidRDefault="00655F71" w:rsidP="009F38EE">
      <w:pPr>
        <w:pStyle w:val="AA-6pt"/>
      </w:pPr>
      <w:r w:rsidRPr="00FA4064">
        <w:t>The plan is reviewed and approved by TPC Branch staff.</w:t>
      </w:r>
    </w:p>
    <w:p w14:paraId="6304A593" w14:textId="6259101B" w:rsidR="00C71F91" w:rsidRPr="00901885" w:rsidRDefault="00E85609" w:rsidP="009F38EE">
      <w:pPr>
        <w:pStyle w:val="AA-12pt"/>
        <w:numPr>
          <w:ilvl w:val="0"/>
          <w:numId w:val="10"/>
        </w:numPr>
      </w:pPr>
      <w:r w:rsidRPr="00B1642A">
        <w:rPr>
          <w:b/>
          <w:bCs/>
        </w:rPr>
        <w:t>Reporting Requirements via Smartsheet</w:t>
      </w:r>
    </w:p>
    <w:p w14:paraId="41285668" w14:textId="1FBD188E" w:rsidR="00B1642A" w:rsidRDefault="00B1642A" w:rsidP="009F38EE">
      <w:pPr>
        <w:pStyle w:val="AA-Normal12pt"/>
        <w:spacing w:before="0"/>
        <w:ind w:left="1080"/>
      </w:pPr>
      <w:r>
        <w:t>The DPH Smartsheet Reporting Portal</w:t>
      </w:r>
      <w:r w:rsidR="00826E01">
        <w:t xml:space="preserve"> is</w:t>
      </w:r>
      <w:r>
        <w:t xml:space="preserve"> the centralized website for the LHD to submit required reports. The Main Page provides </w:t>
      </w:r>
      <w:r w:rsidR="00463814">
        <w:t xml:space="preserve">a </w:t>
      </w:r>
      <w:r>
        <w:t>link</w:t>
      </w:r>
      <w:r w:rsidR="00463814">
        <w:t xml:space="preserve"> to each active DPH </w:t>
      </w:r>
      <w:r>
        <w:t xml:space="preserve">Activity Page </w:t>
      </w:r>
      <w:r w:rsidR="00826E01">
        <w:t xml:space="preserve">and is accessed at </w:t>
      </w:r>
      <w:r w:rsidR="00826E01" w:rsidRPr="00826E01">
        <w:t>https://app.smartsheet.com/b/publish?EQBCT=82018408e7b44ef9b44e113b6e536ffb</w:t>
      </w:r>
      <w:r w:rsidR="00826E01">
        <w:t>.</w:t>
      </w:r>
    </w:p>
    <w:p w14:paraId="078CE258" w14:textId="29B99FDC" w:rsidR="009542BE" w:rsidRDefault="00901885" w:rsidP="009F38EE">
      <w:pPr>
        <w:pStyle w:val="AA-6pt"/>
        <w:numPr>
          <w:ilvl w:val="1"/>
          <w:numId w:val="10"/>
        </w:numPr>
      </w:pPr>
      <w:r w:rsidRPr="003D3CC1">
        <w:rPr>
          <w:b/>
          <w:bCs/>
        </w:rPr>
        <w:t>Monthly Financial Reports</w:t>
      </w:r>
      <w:r>
        <w:t xml:space="preserve">: </w:t>
      </w:r>
      <w:r w:rsidR="003F1566" w:rsidRPr="00A11F44">
        <w:t xml:space="preserve">The monthly financial report </w:t>
      </w:r>
      <w:r w:rsidR="00463814" w:rsidRPr="00A11F44">
        <w:t>will report on the prior month to document expenditures</w:t>
      </w:r>
      <w:r w:rsidR="00463814">
        <w:t xml:space="preserve"> and </w:t>
      </w:r>
      <w:r w:rsidR="003F1566">
        <w:t>is due by the 24th of each month.</w:t>
      </w:r>
    </w:p>
    <w:p w14:paraId="6F5B3612" w14:textId="6DC6DFEA" w:rsidR="00F13DE7" w:rsidRDefault="00901885" w:rsidP="009F38EE">
      <w:pPr>
        <w:pStyle w:val="AA-6pt"/>
        <w:numPr>
          <w:ilvl w:val="1"/>
          <w:numId w:val="10"/>
        </w:numPr>
      </w:pPr>
      <w:r w:rsidRPr="009542BE">
        <w:rPr>
          <w:b/>
          <w:bCs/>
        </w:rPr>
        <w:t>Quarterly Performance Reports</w:t>
      </w:r>
      <w:r>
        <w:t>:</w:t>
      </w:r>
      <w:r w:rsidR="009542BE">
        <w:t xml:space="preserve"> </w:t>
      </w:r>
      <w:r w:rsidR="009542BE" w:rsidRPr="00A11F44">
        <w:t>The quarterly reports will detail the prior quarter’s progress according to the following schedule</w:t>
      </w:r>
      <w:r w:rsidR="00F13DE7">
        <w:t>:</w:t>
      </w:r>
    </w:p>
    <w:p w14:paraId="13F9D0E2" w14:textId="3554B715" w:rsidR="009542BE" w:rsidRPr="00A22655" w:rsidRDefault="005F1568" w:rsidP="009F38EE">
      <w:pPr>
        <w:tabs>
          <w:tab w:val="left" w:pos="5760"/>
        </w:tabs>
        <w:spacing w:before="120"/>
        <w:ind w:left="2160"/>
        <w:rPr>
          <w:rFonts w:cs="Times New Roman"/>
          <w:u w:val="single"/>
        </w:rPr>
      </w:pPr>
      <w:r>
        <w:rPr>
          <w:rFonts w:cs="Times New Roman"/>
          <w:u w:val="single"/>
        </w:rPr>
        <w:t>Performance Periods</w:t>
      </w:r>
      <w:r w:rsidR="009542BE" w:rsidRPr="00A22655">
        <w:rPr>
          <w:rFonts w:cs="Times New Roman"/>
          <w:u w:val="single"/>
        </w:rPr>
        <w:t xml:space="preserve"> </w:t>
      </w:r>
      <w:r w:rsidR="009542BE" w:rsidRPr="00A22655">
        <w:rPr>
          <w:rFonts w:cs="Times New Roman"/>
          <w:u w:val="single"/>
        </w:rPr>
        <w:tab/>
        <w:t xml:space="preserve">Report </w:t>
      </w:r>
      <w:r w:rsidR="00F13DE7" w:rsidRPr="00A22655">
        <w:rPr>
          <w:rFonts w:cs="Times New Roman"/>
          <w:u w:val="single"/>
        </w:rPr>
        <w:t>Due Dates</w:t>
      </w:r>
    </w:p>
    <w:p w14:paraId="71CF368E" w14:textId="7F340AC3" w:rsidR="009542BE" w:rsidRPr="009542BE" w:rsidRDefault="009542BE" w:rsidP="009F38EE">
      <w:pPr>
        <w:tabs>
          <w:tab w:val="left" w:pos="5760"/>
        </w:tabs>
        <w:ind w:left="2160"/>
        <w:rPr>
          <w:rFonts w:cs="Times New Roman"/>
        </w:rPr>
      </w:pPr>
      <w:r>
        <w:rPr>
          <w:rFonts w:cs="Times New Roman"/>
        </w:rPr>
        <w:t>June</w:t>
      </w:r>
      <w:r w:rsidRPr="009542BE">
        <w:rPr>
          <w:rFonts w:cs="Times New Roman"/>
        </w:rPr>
        <w:t xml:space="preserve"> – </w:t>
      </w:r>
      <w:r>
        <w:rPr>
          <w:rFonts w:cs="Times New Roman"/>
        </w:rPr>
        <w:t xml:space="preserve">August </w:t>
      </w:r>
      <w:r w:rsidRPr="009542BE">
        <w:rPr>
          <w:rFonts w:cs="Times New Roman"/>
        </w:rPr>
        <w:t>202</w:t>
      </w:r>
      <w:r w:rsidR="00E26373">
        <w:rPr>
          <w:rFonts w:cs="Times New Roman"/>
        </w:rPr>
        <w:t>6</w:t>
      </w:r>
      <w:r w:rsidRPr="009542BE">
        <w:rPr>
          <w:rFonts w:cs="Times New Roman"/>
        </w:rPr>
        <w:tab/>
      </w:r>
      <w:r w:rsidR="00DB51A7" w:rsidRPr="009542BE">
        <w:rPr>
          <w:rFonts w:cs="Times New Roman"/>
        </w:rPr>
        <w:t xml:space="preserve">September </w:t>
      </w:r>
      <w:r w:rsidR="00F13DE7">
        <w:rPr>
          <w:rFonts w:cs="Times New Roman"/>
        </w:rPr>
        <w:t>24</w:t>
      </w:r>
      <w:r w:rsidRPr="009542BE">
        <w:rPr>
          <w:rFonts w:cs="Times New Roman"/>
        </w:rPr>
        <w:t>, 202</w:t>
      </w:r>
      <w:r w:rsidR="00DB51A7">
        <w:rPr>
          <w:rFonts w:cs="Times New Roman"/>
        </w:rPr>
        <w:t>6</w:t>
      </w:r>
    </w:p>
    <w:p w14:paraId="356CD83A" w14:textId="3B886B80" w:rsidR="009542BE" w:rsidRPr="009542BE" w:rsidRDefault="009542BE" w:rsidP="009F38EE">
      <w:pPr>
        <w:tabs>
          <w:tab w:val="left" w:pos="5760"/>
        </w:tabs>
        <w:ind w:left="2160"/>
        <w:rPr>
          <w:rFonts w:cs="Times New Roman"/>
        </w:rPr>
      </w:pPr>
      <w:r w:rsidRPr="009542BE">
        <w:rPr>
          <w:rFonts w:cs="Times New Roman"/>
        </w:rPr>
        <w:lastRenderedPageBreak/>
        <w:t>September –</w:t>
      </w:r>
      <w:r w:rsidR="00E26373">
        <w:rPr>
          <w:rFonts w:cs="Times New Roman"/>
        </w:rPr>
        <w:t xml:space="preserve"> November </w:t>
      </w:r>
      <w:r w:rsidRPr="009542BE">
        <w:rPr>
          <w:rFonts w:cs="Times New Roman"/>
        </w:rPr>
        <w:t>202</w:t>
      </w:r>
      <w:r w:rsidR="00E26373">
        <w:rPr>
          <w:rFonts w:cs="Times New Roman"/>
        </w:rPr>
        <w:t>6</w:t>
      </w:r>
      <w:r w:rsidRPr="009542BE">
        <w:rPr>
          <w:rFonts w:cs="Times New Roman"/>
        </w:rPr>
        <w:tab/>
      </w:r>
      <w:r w:rsidR="00DB51A7" w:rsidRPr="009542BE">
        <w:rPr>
          <w:rFonts w:cs="Times New Roman"/>
        </w:rPr>
        <w:t xml:space="preserve">December </w:t>
      </w:r>
      <w:r w:rsidR="00F13DE7">
        <w:rPr>
          <w:rFonts w:cs="Times New Roman"/>
        </w:rPr>
        <w:t>24</w:t>
      </w:r>
      <w:r w:rsidRPr="009542BE">
        <w:rPr>
          <w:rFonts w:cs="Times New Roman"/>
        </w:rPr>
        <w:t>, 202</w:t>
      </w:r>
      <w:r w:rsidR="00DB51A7">
        <w:rPr>
          <w:rFonts w:cs="Times New Roman"/>
        </w:rPr>
        <w:t>6</w:t>
      </w:r>
    </w:p>
    <w:p w14:paraId="2BAFFF9D" w14:textId="55B366B4" w:rsidR="009542BE" w:rsidRPr="009542BE" w:rsidRDefault="00E26373" w:rsidP="009F38EE">
      <w:pPr>
        <w:tabs>
          <w:tab w:val="left" w:pos="5760"/>
        </w:tabs>
        <w:ind w:left="2160"/>
        <w:rPr>
          <w:rFonts w:cs="Times New Roman"/>
        </w:rPr>
      </w:pPr>
      <w:r w:rsidRPr="009542BE">
        <w:rPr>
          <w:rFonts w:cs="Times New Roman"/>
        </w:rPr>
        <w:t xml:space="preserve">December </w:t>
      </w:r>
      <w:r>
        <w:rPr>
          <w:rFonts w:cs="Times New Roman"/>
        </w:rPr>
        <w:t xml:space="preserve">2026 </w:t>
      </w:r>
      <w:r w:rsidR="009542BE" w:rsidRPr="009542BE">
        <w:rPr>
          <w:rFonts w:cs="Times New Roman"/>
        </w:rPr>
        <w:t>–</w:t>
      </w:r>
      <w:r>
        <w:rPr>
          <w:rFonts w:cs="Times New Roman"/>
        </w:rPr>
        <w:t xml:space="preserve"> February </w:t>
      </w:r>
      <w:r w:rsidR="009542BE" w:rsidRPr="009542BE">
        <w:rPr>
          <w:rFonts w:cs="Times New Roman"/>
        </w:rPr>
        <w:t>202</w:t>
      </w:r>
      <w:r>
        <w:rPr>
          <w:rFonts w:cs="Times New Roman"/>
        </w:rPr>
        <w:t>7</w:t>
      </w:r>
      <w:r w:rsidR="009542BE" w:rsidRPr="009542BE">
        <w:rPr>
          <w:rFonts w:cs="Times New Roman"/>
        </w:rPr>
        <w:tab/>
      </w:r>
      <w:r w:rsidR="00DB51A7" w:rsidRPr="009542BE">
        <w:rPr>
          <w:rFonts w:cs="Times New Roman"/>
        </w:rPr>
        <w:t xml:space="preserve">March </w:t>
      </w:r>
      <w:r w:rsidR="00F13DE7">
        <w:rPr>
          <w:rFonts w:cs="Times New Roman"/>
        </w:rPr>
        <w:t>24</w:t>
      </w:r>
      <w:r w:rsidR="009542BE" w:rsidRPr="009542BE">
        <w:rPr>
          <w:rFonts w:cs="Times New Roman"/>
        </w:rPr>
        <w:t>, 202</w:t>
      </w:r>
      <w:r w:rsidR="00DB51A7">
        <w:rPr>
          <w:rFonts w:cs="Times New Roman"/>
        </w:rPr>
        <w:t>7</w:t>
      </w:r>
    </w:p>
    <w:p w14:paraId="23D7A38A" w14:textId="1A9B93E4" w:rsidR="009542BE" w:rsidRPr="009542BE" w:rsidRDefault="00E26373" w:rsidP="009F38EE">
      <w:pPr>
        <w:tabs>
          <w:tab w:val="left" w:pos="5760"/>
        </w:tabs>
        <w:ind w:left="2160"/>
        <w:rPr>
          <w:rFonts w:cs="Times New Roman"/>
        </w:rPr>
      </w:pPr>
      <w:r w:rsidRPr="009542BE">
        <w:rPr>
          <w:rFonts w:cs="Times New Roman"/>
        </w:rPr>
        <w:t>March</w:t>
      </w:r>
      <w:r w:rsidR="00072984">
        <w:rPr>
          <w:rFonts w:cs="Times New Roman"/>
        </w:rPr>
        <w:t xml:space="preserve"> </w:t>
      </w:r>
      <w:r w:rsidR="009542BE" w:rsidRPr="009542BE">
        <w:rPr>
          <w:rFonts w:cs="Times New Roman"/>
        </w:rPr>
        <w:t>–</w:t>
      </w:r>
      <w:r>
        <w:rPr>
          <w:rFonts w:cs="Times New Roman"/>
        </w:rPr>
        <w:t xml:space="preserve"> May </w:t>
      </w:r>
      <w:r w:rsidR="009542BE" w:rsidRPr="009542BE">
        <w:rPr>
          <w:rFonts w:cs="Times New Roman"/>
        </w:rPr>
        <w:t>202</w:t>
      </w:r>
      <w:r>
        <w:rPr>
          <w:rFonts w:cs="Times New Roman"/>
        </w:rPr>
        <w:t>7</w:t>
      </w:r>
      <w:r w:rsidR="009542BE" w:rsidRPr="009542BE">
        <w:rPr>
          <w:rFonts w:cs="Times New Roman"/>
        </w:rPr>
        <w:tab/>
      </w:r>
      <w:r w:rsidR="00DB51A7">
        <w:rPr>
          <w:rFonts w:cs="Times New Roman"/>
        </w:rPr>
        <w:t>June</w:t>
      </w:r>
      <w:r w:rsidR="00DB51A7" w:rsidRPr="009542BE">
        <w:rPr>
          <w:rFonts w:cs="Times New Roman"/>
        </w:rPr>
        <w:t xml:space="preserve"> </w:t>
      </w:r>
      <w:r w:rsidR="00F13DE7">
        <w:rPr>
          <w:rFonts w:cs="Times New Roman"/>
        </w:rPr>
        <w:t>24</w:t>
      </w:r>
      <w:r w:rsidR="009542BE" w:rsidRPr="009542BE">
        <w:rPr>
          <w:rFonts w:cs="Times New Roman"/>
        </w:rPr>
        <w:t>, 202</w:t>
      </w:r>
      <w:r w:rsidR="00DB51A7">
        <w:rPr>
          <w:rFonts w:cs="Times New Roman"/>
        </w:rPr>
        <w:t>7</w:t>
      </w:r>
    </w:p>
    <w:p w14:paraId="552478A7" w14:textId="6F1BB181" w:rsidR="004C49B9" w:rsidRPr="0025430D" w:rsidRDefault="44BAE608" w:rsidP="009F38EE">
      <w:pPr>
        <w:pStyle w:val="AA-12pt"/>
        <w:numPr>
          <w:ilvl w:val="0"/>
          <w:numId w:val="10"/>
        </w:numPr>
      </w:pPr>
      <w:r w:rsidRPr="0025430D">
        <w:rPr>
          <w:b/>
          <w:bCs/>
        </w:rPr>
        <w:t>Reporting Required Subcontract Information</w:t>
      </w:r>
    </w:p>
    <w:p w14:paraId="0E28FE8C" w14:textId="3AD9D35C" w:rsidR="004C49B9" w:rsidRDefault="44BAE608" w:rsidP="009F38EE">
      <w:pPr>
        <w:ind w:left="1080"/>
      </w:pPr>
      <w:r w:rsidRPr="136FCC1D">
        <w:rPr>
          <w:rFonts w:eastAsia="Times New Roman" w:cs="Times New Roman"/>
          <w:szCs w:val="24"/>
        </w:rPr>
        <w:t xml:space="preserve">In accordance with revised NCDHHS guidelines effective October 1, 2024, the LHD must provide the information listed below for </w:t>
      </w:r>
      <w:r w:rsidRPr="136FCC1D">
        <w:rPr>
          <w:rFonts w:eastAsia="Times New Roman" w:cs="Times New Roman"/>
          <w:szCs w:val="24"/>
          <w:u w:val="single"/>
        </w:rPr>
        <w:t>every subcontract</w:t>
      </w:r>
      <w:r w:rsidRPr="136FCC1D">
        <w:rPr>
          <w:rFonts w:eastAsia="Times New Roman" w:cs="Times New Roman"/>
          <w:szCs w:val="24"/>
        </w:rPr>
        <w:t xml:space="preserve"> receiving funding from the LHD to carry out any or all of this Agreement Addendum’s work.</w:t>
      </w:r>
    </w:p>
    <w:p w14:paraId="360C3870" w14:textId="4FE86CCB" w:rsidR="004C49B9" w:rsidRDefault="44BAE608" w:rsidP="009F38EE">
      <w:pPr>
        <w:spacing w:before="120"/>
        <w:ind w:left="1080"/>
      </w:pPr>
      <w:r w:rsidRPr="136FCC1D">
        <w:rPr>
          <w:rFonts w:eastAsia="Times New Roman" w:cs="Times New Roman"/>
          <w:szCs w:val="24"/>
        </w:rPr>
        <w:t xml:space="preserve">This information is </w:t>
      </w:r>
      <w:r w:rsidRPr="136FCC1D">
        <w:rPr>
          <w:rFonts w:eastAsia="Times New Roman" w:cs="Times New Roman"/>
          <w:szCs w:val="24"/>
          <w:u w:val="single"/>
        </w:rPr>
        <w:t>not</w:t>
      </w:r>
      <w:r w:rsidRPr="136FCC1D">
        <w:rPr>
          <w:rFonts w:eastAsia="Times New Roman" w:cs="Times New Roman"/>
          <w:szCs w:val="24"/>
        </w:rPr>
        <w:t xml:space="preserve"> to be returned with the signed Agreement Addendum (AA) but </w:t>
      </w:r>
      <w:r w:rsidRPr="136FCC1D">
        <w:rPr>
          <w:rFonts w:eastAsia="Times New Roman" w:cs="Times New Roman"/>
          <w:szCs w:val="24"/>
          <w:u w:val="single"/>
        </w:rPr>
        <w:t>is</w:t>
      </w:r>
      <w:r w:rsidRPr="136FCC1D">
        <w:rPr>
          <w:rFonts w:eastAsia="Times New Roman" w:cs="Times New Roman"/>
          <w:szCs w:val="24"/>
        </w:rPr>
        <w:t xml:space="preserve"> to be provided to DPH when the entities are known by the LHD.</w:t>
      </w:r>
    </w:p>
    <w:p w14:paraId="138A0DF8" w14:textId="77777777" w:rsidR="00727204" w:rsidRDefault="44BAE608" w:rsidP="009F38EE">
      <w:pPr>
        <w:pStyle w:val="AA-6pt"/>
        <w:numPr>
          <w:ilvl w:val="1"/>
          <w:numId w:val="10"/>
        </w:numPr>
      </w:pPr>
      <w:r w:rsidRPr="136FCC1D">
        <w:t>Subcontracts are contracts or agreements issued by the LHD to a vendor (“Subcontractor”) or a pass-through entity (“Subrecipient”).</w:t>
      </w:r>
    </w:p>
    <w:p w14:paraId="57D79E8C" w14:textId="77777777" w:rsidR="00727204" w:rsidRDefault="44BAE608" w:rsidP="009F38EE">
      <w:pPr>
        <w:pStyle w:val="AA-3pt"/>
        <w:numPr>
          <w:ilvl w:val="2"/>
          <w:numId w:val="10"/>
        </w:numPr>
      </w:pPr>
      <w:r w:rsidRPr="136FCC1D">
        <w:rPr>
          <w:u w:val="single"/>
        </w:rPr>
        <w:t>Subcontractors</w:t>
      </w:r>
      <w:r w:rsidRPr="136FCC1D">
        <w:t xml:space="preserve"> are vendors hired by the LHD via a contract to provide a good or service required by the LHD to perform or accomplish specific work outlined in the executed AA. For example, if the LHD needed to build a data system to satisfy an AA’s reporting requirements, the vendor hired by the LHD to build the data system would be a Subcontractor. (However, not all Vendors are considered Subcontractors. Entities performing general administrative services for the LHD (e.g., certified professional accountants) are not considered Subcontractors.)</w:t>
      </w:r>
    </w:p>
    <w:p w14:paraId="5240F800" w14:textId="32468E8E" w:rsidR="004C49B9" w:rsidRDefault="44BAE608" w:rsidP="009F38EE">
      <w:pPr>
        <w:pStyle w:val="AA-3pt"/>
        <w:numPr>
          <w:ilvl w:val="2"/>
          <w:numId w:val="10"/>
        </w:numPr>
      </w:pPr>
      <w:r w:rsidRPr="136FCC1D">
        <w:rPr>
          <w:u w:val="single"/>
        </w:rPr>
        <w:t>Subrecipients</w:t>
      </w:r>
      <w:r w:rsidRPr="136FCC1D">
        <w:t xml:space="preserve"> of the LHD are those that receive DPH pass-through funding from the LHD via a contract or agreement for them to carry out all or a portion of the programmatic responsibilities outlined in the executed AA. (Subrecipients are also referred to as Subgrantees in NCAC.)</w:t>
      </w:r>
    </w:p>
    <w:p w14:paraId="7DFC7888" w14:textId="249E92AD" w:rsidR="004C49B9" w:rsidRDefault="44BAE608" w:rsidP="009F38EE">
      <w:pPr>
        <w:spacing w:before="120"/>
        <w:ind w:left="1080"/>
      </w:pPr>
      <w:r w:rsidRPr="136FCC1D">
        <w:rPr>
          <w:rFonts w:eastAsia="Times New Roman" w:cs="Times New Roman"/>
          <w:szCs w:val="24"/>
        </w:rPr>
        <w:t xml:space="preserve">The following information must be </w:t>
      </w:r>
      <w:r w:rsidRPr="00AC42C4">
        <w:rPr>
          <w:rFonts w:eastAsia="Times New Roman" w:cs="Times New Roman"/>
          <w:szCs w:val="24"/>
        </w:rPr>
        <w:t xml:space="preserve">provided </w:t>
      </w:r>
      <w:r w:rsidR="008073C0" w:rsidRPr="00AC42C4">
        <w:rPr>
          <w:rFonts w:eastAsia="Times New Roman" w:cs="Times New Roman"/>
          <w:szCs w:val="24"/>
        </w:rPr>
        <w:t xml:space="preserve">via Smartsheet </w:t>
      </w:r>
      <w:r w:rsidRPr="00AC42C4">
        <w:rPr>
          <w:rFonts w:eastAsia="Times New Roman" w:cs="Times New Roman"/>
          <w:szCs w:val="24"/>
        </w:rPr>
        <w:t>for review</w:t>
      </w:r>
      <w:r w:rsidRPr="136FCC1D">
        <w:rPr>
          <w:rFonts w:eastAsia="Times New Roman" w:cs="Times New Roman"/>
          <w:szCs w:val="24"/>
        </w:rPr>
        <w:t xml:space="preserve"> prior to the entity being awarded a contract or agreement from the LHD:</w:t>
      </w:r>
    </w:p>
    <w:p w14:paraId="35233818" w14:textId="56B81D31" w:rsidR="004C49B9" w:rsidRDefault="44BAE608" w:rsidP="009F38EE">
      <w:pPr>
        <w:pStyle w:val="ListParagraph"/>
        <w:numPr>
          <w:ilvl w:val="0"/>
          <w:numId w:val="4"/>
        </w:numPr>
        <w:ind w:left="1800"/>
        <w:rPr>
          <w:rFonts w:eastAsia="Times New Roman" w:cs="Times New Roman"/>
          <w:szCs w:val="24"/>
        </w:rPr>
      </w:pPr>
      <w:r w:rsidRPr="136FCC1D">
        <w:rPr>
          <w:rFonts w:eastAsia="Times New Roman" w:cs="Times New Roman"/>
          <w:szCs w:val="24"/>
        </w:rPr>
        <w:t>Organization or Individual’s Name (if an individual, include the person’s title)</w:t>
      </w:r>
    </w:p>
    <w:p w14:paraId="592590E7" w14:textId="69D43B30" w:rsidR="004C49B9" w:rsidRDefault="44BAE608" w:rsidP="009F38EE">
      <w:pPr>
        <w:pStyle w:val="ListParagraph"/>
        <w:numPr>
          <w:ilvl w:val="0"/>
          <w:numId w:val="4"/>
        </w:numPr>
        <w:ind w:left="1800"/>
        <w:rPr>
          <w:rFonts w:eastAsia="Times New Roman" w:cs="Times New Roman"/>
          <w:szCs w:val="24"/>
        </w:rPr>
      </w:pPr>
      <w:r w:rsidRPr="136FCC1D">
        <w:rPr>
          <w:rFonts w:eastAsia="Times New Roman" w:cs="Times New Roman"/>
          <w:szCs w:val="24"/>
        </w:rPr>
        <w:t>EIN or Tax ID</w:t>
      </w:r>
    </w:p>
    <w:p w14:paraId="08A0B6C2" w14:textId="77777777" w:rsidR="00727204" w:rsidRDefault="44BAE608" w:rsidP="009F38EE">
      <w:pPr>
        <w:pStyle w:val="ListParagraph"/>
        <w:numPr>
          <w:ilvl w:val="0"/>
          <w:numId w:val="4"/>
        </w:numPr>
        <w:ind w:left="1800"/>
        <w:rPr>
          <w:rFonts w:eastAsia="Times New Roman" w:cs="Times New Roman"/>
          <w:szCs w:val="24"/>
        </w:rPr>
      </w:pPr>
      <w:r w:rsidRPr="136FCC1D">
        <w:rPr>
          <w:rFonts w:eastAsia="Times New Roman" w:cs="Times New Roman"/>
          <w:szCs w:val="24"/>
        </w:rPr>
        <w:t>Street Address or PO Box</w:t>
      </w:r>
    </w:p>
    <w:p w14:paraId="65C69B2D" w14:textId="77777777" w:rsidR="00727204" w:rsidRDefault="44BAE608" w:rsidP="009F38EE">
      <w:pPr>
        <w:pStyle w:val="ListParagraph"/>
        <w:numPr>
          <w:ilvl w:val="0"/>
          <w:numId w:val="4"/>
        </w:numPr>
        <w:ind w:left="1800"/>
        <w:rPr>
          <w:rFonts w:eastAsia="Times New Roman" w:cs="Times New Roman"/>
          <w:szCs w:val="24"/>
        </w:rPr>
      </w:pPr>
      <w:r w:rsidRPr="136FCC1D">
        <w:rPr>
          <w:rFonts w:eastAsia="Times New Roman" w:cs="Times New Roman"/>
          <w:szCs w:val="24"/>
        </w:rPr>
        <w:t>City, State and ZIP Code</w:t>
      </w:r>
    </w:p>
    <w:p w14:paraId="0DA44E9D" w14:textId="77777777" w:rsidR="00727204" w:rsidRDefault="44BAE608" w:rsidP="009F38EE">
      <w:pPr>
        <w:pStyle w:val="ListParagraph"/>
        <w:numPr>
          <w:ilvl w:val="0"/>
          <w:numId w:val="4"/>
        </w:numPr>
        <w:ind w:left="1800"/>
        <w:rPr>
          <w:rFonts w:eastAsia="Times New Roman" w:cs="Times New Roman"/>
          <w:szCs w:val="24"/>
        </w:rPr>
      </w:pPr>
      <w:r w:rsidRPr="136FCC1D">
        <w:rPr>
          <w:rFonts w:eastAsia="Times New Roman" w:cs="Times New Roman"/>
          <w:szCs w:val="24"/>
        </w:rPr>
        <w:t>Contact Name</w:t>
      </w:r>
    </w:p>
    <w:p w14:paraId="1893D514" w14:textId="0F3C0BFB" w:rsidR="004C49B9" w:rsidRDefault="44BAE608" w:rsidP="009F38EE">
      <w:pPr>
        <w:pStyle w:val="ListParagraph"/>
        <w:numPr>
          <w:ilvl w:val="0"/>
          <w:numId w:val="4"/>
        </w:numPr>
        <w:ind w:left="1800"/>
        <w:rPr>
          <w:rFonts w:eastAsia="Times New Roman" w:cs="Times New Roman"/>
          <w:szCs w:val="24"/>
        </w:rPr>
      </w:pPr>
      <w:r w:rsidRPr="136FCC1D">
        <w:rPr>
          <w:rFonts w:eastAsia="Times New Roman" w:cs="Times New Roman"/>
          <w:szCs w:val="24"/>
        </w:rPr>
        <w:t>Contact Email</w:t>
      </w:r>
    </w:p>
    <w:p w14:paraId="16D028B5" w14:textId="43374DB6" w:rsidR="004C49B9" w:rsidRDefault="44BAE608" w:rsidP="009F38EE">
      <w:pPr>
        <w:pStyle w:val="ListParagraph"/>
        <w:numPr>
          <w:ilvl w:val="0"/>
          <w:numId w:val="4"/>
        </w:numPr>
        <w:ind w:left="1800"/>
        <w:rPr>
          <w:rFonts w:eastAsia="Times New Roman" w:cs="Times New Roman"/>
          <w:szCs w:val="24"/>
        </w:rPr>
      </w:pPr>
      <w:r w:rsidRPr="136FCC1D">
        <w:rPr>
          <w:rFonts w:eastAsia="Times New Roman" w:cs="Times New Roman"/>
          <w:szCs w:val="24"/>
        </w:rPr>
        <w:t>Contact Telephone</w:t>
      </w:r>
    </w:p>
    <w:p w14:paraId="6066ACBA" w14:textId="2D525249" w:rsidR="004C49B9" w:rsidRDefault="44BAE608" w:rsidP="009F38EE">
      <w:pPr>
        <w:pStyle w:val="ListParagraph"/>
        <w:numPr>
          <w:ilvl w:val="0"/>
          <w:numId w:val="4"/>
        </w:numPr>
        <w:ind w:left="1800"/>
        <w:rPr>
          <w:rFonts w:eastAsia="Times New Roman" w:cs="Times New Roman"/>
          <w:szCs w:val="24"/>
        </w:rPr>
      </w:pPr>
      <w:r w:rsidRPr="136FCC1D">
        <w:rPr>
          <w:rFonts w:eastAsia="Times New Roman" w:cs="Times New Roman"/>
          <w:szCs w:val="24"/>
        </w:rPr>
        <w:t>Fiscal Year End Date (of the entity)</w:t>
      </w:r>
    </w:p>
    <w:p w14:paraId="22B0E0F2" w14:textId="0872DD33" w:rsidR="004C49B9" w:rsidRDefault="44BAE608" w:rsidP="009F38EE">
      <w:pPr>
        <w:pStyle w:val="ListParagraph"/>
        <w:numPr>
          <w:ilvl w:val="0"/>
          <w:numId w:val="4"/>
        </w:numPr>
        <w:ind w:left="1800"/>
        <w:rPr>
          <w:rFonts w:eastAsia="Times New Roman" w:cs="Times New Roman"/>
          <w:szCs w:val="24"/>
        </w:rPr>
      </w:pPr>
      <w:r w:rsidRPr="136FCC1D">
        <w:rPr>
          <w:rFonts w:eastAsia="Times New Roman" w:cs="Times New Roman"/>
          <w:szCs w:val="24"/>
        </w:rPr>
        <w:t>State whether the entity is functioning as a pass-through entity Subcontractor or Subrecipient of the LHD.</w:t>
      </w:r>
    </w:p>
    <w:p w14:paraId="525E7B5C" w14:textId="1D3EA0E2" w:rsidR="004C49B9" w:rsidRDefault="004C49B9" w:rsidP="006E5E60">
      <w:pPr>
        <w:pStyle w:val="Heading1"/>
      </w:pPr>
      <w:r>
        <w:t>V.</w:t>
      </w:r>
      <w:r>
        <w:tab/>
      </w:r>
      <w:r w:rsidRPr="136FCC1D">
        <w:rPr>
          <w:u w:val="single"/>
        </w:rPr>
        <w:t>Performance Monitoring and Quality Assurance</w:t>
      </w:r>
      <w:r>
        <w:t>:</w:t>
      </w:r>
    </w:p>
    <w:p w14:paraId="73FEFADD" w14:textId="77777777" w:rsidR="00576BAF" w:rsidRPr="00576BAF" w:rsidRDefault="00576BAF" w:rsidP="006E5E60">
      <w:pPr>
        <w:pStyle w:val="AA-12pt"/>
        <w:numPr>
          <w:ilvl w:val="0"/>
          <w:numId w:val="5"/>
        </w:numPr>
        <w:spacing w:before="0"/>
      </w:pPr>
      <w:r w:rsidRPr="00576BAF">
        <w:t xml:space="preserve">TPC Branch staff will review the annual action plan and provide recommendations. Annual action plans are subject to change based on legislative decisions and can be modified by the Regional Manager during </w:t>
      </w:r>
      <w:r w:rsidRPr="009F38EE">
        <w:rPr>
          <w:rFonts w:eastAsia="Times New Roman" w:cs="Times New Roman"/>
          <w:szCs w:val="24"/>
        </w:rPr>
        <w:t>quarterly</w:t>
      </w:r>
      <w:r w:rsidRPr="00576BAF">
        <w:t xml:space="preserve"> reviews with approval from TPC Branch staff.</w:t>
      </w:r>
    </w:p>
    <w:p w14:paraId="17EADFB5" w14:textId="77777777" w:rsidR="00576BAF" w:rsidRPr="009F38EE" w:rsidRDefault="00576BAF" w:rsidP="009F38EE">
      <w:pPr>
        <w:pStyle w:val="AA-12pt"/>
        <w:numPr>
          <w:ilvl w:val="0"/>
          <w:numId w:val="5"/>
        </w:numPr>
        <w:rPr>
          <w:rFonts w:eastAsia="Times New Roman" w:cs="Times New Roman"/>
          <w:szCs w:val="24"/>
        </w:rPr>
      </w:pPr>
      <w:r w:rsidRPr="00576BAF">
        <w:t xml:space="preserve">TPC </w:t>
      </w:r>
      <w:r w:rsidRPr="009F38EE">
        <w:rPr>
          <w:rFonts w:eastAsia="Times New Roman" w:cs="Times New Roman"/>
          <w:szCs w:val="24"/>
        </w:rPr>
        <w:t>Branch will provide training and assistance to the Regional Manager through virtual or in-person meetings and regular conference calls to build his or her capacity to support the region.</w:t>
      </w:r>
    </w:p>
    <w:p w14:paraId="0EE41319" w14:textId="335E4D25" w:rsidR="00727204" w:rsidRDefault="00576BAF" w:rsidP="009F38EE">
      <w:pPr>
        <w:pStyle w:val="AA-12pt"/>
        <w:numPr>
          <w:ilvl w:val="0"/>
          <w:numId w:val="5"/>
        </w:numPr>
        <w:rPr>
          <w:rFonts w:eastAsia="Times New Roman" w:cs="Times New Roman"/>
          <w:szCs w:val="24"/>
        </w:rPr>
      </w:pPr>
      <w:r w:rsidRPr="009F38EE">
        <w:rPr>
          <w:rFonts w:eastAsia="Times New Roman" w:cs="Times New Roman"/>
          <w:szCs w:val="24"/>
        </w:rPr>
        <w:t xml:space="preserve">TPC Branch monitors the </w:t>
      </w:r>
      <w:r w:rsidR="00727204">
        <w:t xml:space="preserve">LHD </w:t>
      </w:r>
      <w:r w:rsidRPr="009F38EE">
        <w:rPr>
          <w:rFonts w:eastAsia="Times New Roman" w:cs="Times New Roman"/>
          <w:szCs w:val="24"/>
        </w:rPr>
        <w:t>and its Regional Collaborative’s progress on its annual action plan by reviewing Periodic Performance Reports and by conducting an annual site visit.</w:t>
      </w:r>
    </w:p>
    <w:p w14:paraId="245D6F61" w14:textId="29B12399" w:rsidR="00727204" w:rsidRDefault="00576BAF" w:rsidP="009F38EE">
      <w:pPr>
        <w:pStyle w:val="AA-12pt"/>
        <w:numPr>
          <w:ilvl w:val="0"/>
          <w:numId w:val="5"/>
        </w:numPr>
        <w:rPr>
          <w:rFonts w:eastAsia="Times New Roman" w:cs="Times New Roman"/>
          <w:szCs w:val="24"/>
        </w:rPr>
      </w:pPr>
      <w:r w:rsidRPr="009F38EE">
        <w:rPr>
          <w:rFonts w:eastAsia="Times New Roman" w:cs="Times New Roman"/>
          <w:szCs w:val="24"/>
        </w:rPr>
        <w:lastRenderedPageBreak/>
        <w:t xml:space="preserve">The annual site visit will be conducted with the </w:t>
      </w:r>
      <w:r w:rsidR="00727204">
        <w:t xml:space="preserve">LHD </w:t>
      </w:r>
      <w:r w:rsidRPr="009F38EE">
        <w:rPr>
          <w:rFonts w:eastAsia="Times New Roman" w:cs="Times New Roman"/>
          <w:szCs w:val="24"/>
        </w:rPr>
        <w:t xml:space="preserve">and Regional Leadership Team. TPC Branch will discuss the evaluations and provide feedback </w:t>
      </w:r>
      <w:r w:rsidR="00BD4EF7" w:rsidRPr="009F38EE">
        <w:rPr>
          <w:rFonts w:eastAsia="Times New Roman" w:cs="Times New Roman"/>
          <w:szCs w:val="24"/>
        </w:rPr>
        <w:t>during</w:t>
      </w:r>
      <w:r w:rsidRPr="009F38EE">
        <w:rPr>
          <w:rFonts w:eastAsia="Times New Roman" w:cs="Times New Roman"/>
          <w:szCs w:val="24"/>
        </w:rPr>
        <w:t xml:space="preserve"> the site visit. Future meetings and site visits will be planned collaboratively.</w:t>
      </w:r>
    </w:p>
    <w:p w14:paraId="588EEDCA" w14:textId="03F2D7E8" w:rsidR="00727204" w:rsidRDefault="00576BAF" w:rsidP="009F38EE">
      <w:pPr>
        <w:pStyle w:val="AA-12pt"/>
        <w:numPr>
          <w:ilvl w:val="0"/>
          <w:numId w:val="5"/>
        </w:numPr>
        <w:rPr>
          <w:rFonts w:eastAsia="Times New Roman" w:cs="Times New Roman"/>
          <w:szCs w:val="24"/>
        </w:rPr>
      </w:pPr>
      <w:r w:rsidRPr="009F38EE">
        <w:rPr>
          <w:rFonts w:eastAsia="Times New Roman" w:cs="Times New Roman"/>
          <w:szCs w:val="24"/>
        </w:rPr>
        <w:t xml:space="preserve">The TPC Branch provides written feedback, recommendations, and technical assistance at least twice per year, including identifying major strengths, weaknesses, areas to be addressed, and evaluating the success story ideas (which are those story ideas mentioned by the </w:t>
      </w:r>
      <w:r w:rsidR="00727204">
        <w:rPr>
          <w:rFonts w:eastAsia="Times New Roman" w:cs="Times New Roman"/>
          <w:szCs w:val="24"/>
        </w:rPr>
        <w:t xml:space="preserve">LHD </w:t>
      </w:r>
      <w:r w:rsidRPr="009F38EE">
        <w:rPr>
          <w:rFonts w:eastAsia="Times New Roman" w:cs="Times New Roman"/>
          <w:szCs w:val="24"/>
        </w:rPr>
        <w:t xml:space="preserve">in its </w:t>
      </w:r>
      <w:r w:rsidR="000F1349">
        <w:rPr>
          <w:rFonts w:eastAsia="Times New Roman" w:cs="Times New Roman"/>
          <w:szCs w:val="24"/>
        </w:rPr>
        <w:t>Quarterly</w:t>
      </w:r>
      <w:r w:rsidR="000F1349" w:rsidRPr="009F38EE">
        <w:rPr>
          <w:rFonts w:eastAsia="Times New Roman" w:cs="Times New Roman"/>
          <w:szCs w:val="24"/>
        </w:rPr>
        <w:t xml:space="preserve"> </w:t>
      </w:r>
      <w:r w:rsidRPr="009F38EE">
        <w:rPr>
          <w:rFonts w:eastAsia="Times New Roman" w:cs="Times New Roman"/>
          <w:szCs w:val="24"/>
        </w:rPr>
        <w:t>Performance Reports).</w:t>
      </w:r>
    </w:p>
    <w:p w14:paraId="41AA2772" w14:textId="6D77B13C" w:rsidR="00727204" w:rsidRDefault="00576BAF" w:rsidP="009F38EE">
      <w:pPr>
        <w:pStyle w:val="AA-12pt"/>
        <w:numPr>
          <w:ilvl w:val="0"/>
          <w:numId w:val="5"/>
        </w:numPr>
        <w:rPr>
          <w:rFonts w:eastAsia="Times New Roman" w:cs="Times New Roman"/>
          <w:szCs w:val="24"/>
        </w:rPr>
      </w:pPr>
      <w:r w:rsidRPr="009F38EE">
        <w:rPr>
          <w:rFonts w:eastAsia="Times New Roman" w:cs="Times New Roman"/>
          <w:szCs w:val="24"/>
        </w:rPr>
        <w:t>TPC Branch monitors the</w:t>
      </w:r>
      <w:r w:rsidR="00727204">
        <w:rPr>
          <w:rFonts w:eastAsia="Times New Roman" w:cs="Times New Roman"/>
          <w:szCs w:val="24"/>
        </w:rPr>
        <w:t xml:space="preserve"> </w:t>
      </w:r>
      <w:r w:rsidR="00727204">
        <w:t>LHD</w:t>
      </w:r>
      <w:r w:rsidRPr="009F38EE">
        <w:rPr>
          <w:rFonts w:eastAsia="Times New Roman" w:cs="Times New Roman"/>
          <w:szCs w:val="24"/>
        </w:rPr>
        <w:t xml:space="preserve">’s monthly reimbursement requests through the Aid-to-Counties database and the Monthly Financial Reports, conducts </w:t>
      </w:r>
      <w:r w:rsidR="00B3588A" w:rsidRPr="00B3588A">
        <w:rPr>
          <w:rFonts w:eastAsia="Times New Roman" w:cs="Times New Roman"/>
          <w:szCs w:val="24"/>
        </w:rPr>
        <w:t>mid-year 100% spending plan and year-end 100% spending pla</w:t>
      </w:r>
      <w:r w:rsidR="00B3588A">
        <w:rPr>
          <w:rFonts w:eastAsia="Times New Roman" w:cs="Times New Roman"/>
          <w:szCs w:val="24"/>
        </w:rPr>
        <w:t>n</w:t>
      </w:r>
      <w:r w:rsidRPr="009F38EE">
        <w:rPr>
          <w:rFonts w:eastAsia="Times New Roman" w:cs="Times New Roman"/>
          <w:szCs w:val="24"/>
        </w:rPr>
        <w:t xml:space="preserve"> meetings, and conducts monthly conference calls to ensure budgets are spent appropriately and programmatic activity is on track.</w:t>
      </w:r>
    </w:p>
    <w:p w14:paraId="2E43F0BC" w14:textId="77777777" w:rsidR="00727204" w:rsidRDefault="00576BAF" w:rsidP="008E6E64">
      <w:pPr>
        <w:pStyle w:val="AA-12pt"/>
        <w:numPr>
          <w:ilvl w:val="0"/>
          <w:numId w:val="5"/>
        </w:numPr>
      </w:pPr>
      <w:r w:rsidRPr="00576BAF">
        <w:t xml:space="preserve">Certain </w:t>
      </w:r>
      <w:r w:rsidRPr="004C78A6">
        <w:rPr>
          <w:rFonts w:eastAsia="Times New Roman" w:cs="Times New Roman"/>
          <w:szCs w:val="24"/>
        </w:rPr>
        <w:t>situations</w:t>
      </w:r>
      <w:r w:rsidRPr="00576BAF">
        <w:t xml:space="preserve"> outlined below may result in inadequate performance and require corrective actions:</w:t>
      </w:r>
    </w:p>
    <w:p w14:paraId="76A27E85" w14:textId="37B823D8" w:rsidR="00576BAF" w:rsidRPr="00576BAF" w:rsidRDefault="00576BAF" w:rsidP="004C78A6">
      <w:pPr>
        <w:pStyle w:val="AA-6pt"/>
      </w:pPr>
      <w:r w:rsidRPr="00576BAF">
        <w:t>Non-completion of activities in the annual action plan will require documentation of barriers preventing implementation of activities and require an amended annual action plan within the quarter that the change took place, which must be approved by the TPC Branch.</w:t>
      </w:r>
    </w:p>
    <w:p w14:paraId="1703A0D4" w14:textId="1B3B354F" w:rsidR="00727204" w:rsidRDefault="00576BAF" w:rsidP="004C78A6">
      <w:pPr>
        <w:pStyle w:val="AA-6pt"/>
      </w:pPr>
      <w:r w:rsidRPr="00576BAF">
        <w:t xml:space="preserve">In the event of a gap in staffing (one full-time Regional Manager is required) or another major change in annual action plan delivery, the </w:t>
      </w:r>
      <w:r w:rsidR="00727204">
        <w:t xml:space="preserve">LHD </w:t>
      </w:r>
      <w:r w:rsidRPr="00576BAF">
        <w:t>should identify staff internally to continue progress and recruit and orient a replacement rapidly.</w:t>
      </w:r>
      <w:r w:rsidR="00727204">
        <w:t xml:space="preserve"> </w:t>
      </w:r>
      <w:r w:rsidRPr="00576BAF">
        <w:t xml:space="preserve">If there is delay and the </w:t>
      </w:r>
      <w:r w:rsidR="00727204">
        <w:t xml:space="preserve">LHD </w:t>
      </w:r>
      <w:r w:rsidRPr="00576BAF">
        <w:t>cannot show a plan to spend the lapsed salary or other unspent program dollars, those funds will be reverted and redistributed through TPCB’s 100% spending plan.</w:t>
      </w:r>
    </w:p>
    <w:p w14:paraId="75DE3CE4" w14:textId="54434A7A" w:rsidR="00576BAF" w:rsidRPr="00576BAF" w:rsidRDefault="00576BAF" w:rsidP="004C78A6">
      <w:pPr>
        <w:pStyle w:val="AA-6pt"/>
      </w:pPr>
      <w:r w:rsidRPr="00576BAF">
        <w:t xml:space="preserve">If the </w:t>
      </w:r>
      <w:r w:rsidR="00727204">
        <w:t xml:space="preserve">LHD </w:t>
      </w:r>
      <w:r w:rsidRPr="00576BAF">
        <w:t>does not implement activities in the annual action plan and has not documented barriers explaining why the activities were not completed, the funding for those activities must be returned to the TPCB or will be renegotiated with TPCB-approved replacement activities and budget.</w:t>
      </w:r>
    </w:p>
    <w:p w14:paraId="1CA5036C" w14:textId="39BDE448" w:rsidR="004C49B9" w:rsidRDefault="004C49B9" w:rsidP="006E5E60">
      <w:pPr>
        <w:pStyle w:val="Heading1"/>
      </w:pPr>
      <w:r>
        <w:t>VI.</w:t>
      </w:r>
      <w:r>
        <w:tab/>
      </w:r>
      <w:r w:rsidRPr="136FCC1D">
        <w:rPr>
          <w:u w:val="single"/>
        </w:rPr>
        <w:t>Funding Guidelines or Restrictions</w:t>
      </w:r>
      <w:r>
        <w:t>:</w:t>
      </w:r>
    </w:p>
    <w:p w14:paraId="7B03F324" w14:textId="33AFAE85" w:rsidR="28BB6D70" w:rsidRPr="0025430D" w:rsidRDefault="28BB6D70" w:rsidP="009F38EE">
      <w:pPr>
        <w:pStyle w:val="AA-12pt"/>
        <w:numPr>
          <w:ilvl w:val="0"/>
          <w:numId w:val="21"/>
        </w:numPr>
        <w:spacing w:before="0"/>
        <w:rPr>
          <w:rFonts w:eastAsia="Times New Roman" w:cs="Times New Roman"/>
          <w:szCs w:val="24"/>
        </w:rPr>
      </w:pPr>
      <w:r w:rsidRPr="0025430D">
        <w:rPr>
          <w:rFonts w:eastAsia="Times New Roman" w:cs="Times New Roman"/>
          <w:b/>
          <w:bCs/>
          <w:szCs w:val="24"/>
        </w:rPr>
        <w:t>Federal Funding Requirements</w:t>
      </w:r>
      <w:r w:rsidRPr="0025430D">
        <w:rPr>
          <w:rFonts w:eastAsia="Times New Roman" w:cs="Times New Roman"/>
          <w:szCs w:val="24"/>
        </w:rPr>
        <w:t>: where federal grant dollars received by DPH are passed through to the LHD for all or any part of this AA.</w:t>
      </w:r>
    </w:p>
    <w:p w14:paraId="7465B9DF" w14:textId="795BE09C" w:rsidR="28BB6D70" w:rsidRDefault="28BB6D70" w:rsidP="009F38EE">
      <w:pPr>
        <w:pStyle w:val="AA-6pt"/>
        <w:numPr>
          <w:ilvl w:val="1"/>
          <w:numId w:val="10"/>
        </w:numPr>
        <w:rPr>
          <w:rFonts w:eastAsia="Times New Roman" w:cs="Times New Roman"/>
          <w:szCs w:val="24"/>
        </w:rPr>
      </w:pPr>
      <w:r w:rsidRPr="136FCC1D">
        <w:rPr>
          <w:rFonts w:eastAsia="Times New Roman" w:cs="Times New Roman"/>
          <w:szCs w:val="24"/>
          <w:u w:val="single"/>
        </w:rPr>
        <w:t>Requirements for Pass-through Entities</w:t>
      </w:r>
      <w:r w:rsidRPr="136FCC1D">
        <w:rPr>
          <w:rFonts w:eastAsia="Times New Roman" w:cs="Times New Roman"/>
          <w:szCs w:val="24"/>
        </w:rPr>
        <w:t>: In compliance with 2 CFR §200.331 – Requirements for pass-through entities, DPH provides Federal Award Reporting Supplements (FASs) to the LHD receiving federally funded AAs.</w:t>
      </w:r>
    </w:p>
    <w:p w14:paraId="00DF3A68" w14:textId="784D065A" w:rsidR="6088C055" w:rsidRDefault="6088C055" w:rsidP="009F38EE">
      <w:pPr>
        <w:pStyle w:val="AA-3pt"/>
        <w:numPr>
          <w:ilvl w:val="2"/>
          <w:numId w:val="10"/>
        </w:numPr>
        <w:rPr>
          <w:rFonts w:eastAsia="Times New Roman" w:cs="Times New Roman"/>
          <w:szCs w:val="24"/>
        </w:rPr>
      </w:pPr>
      <w:r w:rsidRPr="136FCC1D">
        <w:rPr>
          <w:rFonts w:eastAsia="Times New Roman" w:cs="Times New Roman"/>
          <w:szCs w:val="24"/>
        </w:rPr>
        <w:t>Definition: An FAS discloses the required elements of a single federal award. FASs address elements of federal funding sources only; state funding elements will not be included in the FAS. An AA funded by more than one federal award will receive a disclosure FAS for each federal award.</w:t>
      </w:r>
    </w:p>
    <w:p w14:paraId="32637335" w14:textId="77777777" w:rsidR="00727204" w:rsidRDefault="6088C055" w:rsidP="009F38EE">
      <w:pPr>
        <w:pStyle w:val="AA-3pt"/>
        <w:numPr>
          <w:ilvl w:val="2"/>
          <w:numId w:val="10"/>
        </w:numPr>
        <w:rPr>
          <w:rFonts w:eastAsia="Times New Roman" w:cs="Times New Roman"/>
          <w:szCs w:val="24"/>
          <w:u w:val="single"/>
        </w:rPr>
      </w:pPr>
      <w:r w:rsidRPr="136FCC1D">
        <w:rPr>
          <w:rFonts w:eastAsia="Times New Roman" w:cs="Times New Roman"/>
          <w:szCs w:val="24"/>
        </w:rPr>
        <w:t>Frequency: An FAS will be generated as DPH receives information for federal grants. FASs will be issued to the LHD throughout the state fiscal year. For a federally funded AA, an FAS will accompany the original AA. If an AA is revised and if the revision affects federal funds, the AA Revision will include an FAS. FASs can also be sent to the LHD even if no change is needed to an AA. In those instances, the FAS will be sent to provide newly received federal grant information for funds already allocated in the existing AA.</w:t>
      </w:r>
    </w:p>
    <w:p w14:paraId="46B70810" w14:textId="013D9400" w:rsidR="28BB6D70" w:rsidRDefault="28BB6D70" w:rsidP="009F38EE">
      <w:pPr>
        <w:pStyle w:val="AA-6pt"/>
        <w:numPr>
          <w:ilvl w:val="1"/>
          <w:numId w:val="10"/>
        </w:numPr>
        <w:rPr>
          <w:rFonts w:eastAsia="Times New Roman" w:cs="Times New Roman"/>
          <w:szCs w:val="24"/>
        </w:rPr>
      </w:pPr>
      <w:r w:rsidRPr="136FCC1D">
        <w:rPr>
          <w:rFonts w:eastAsia="Times New Roman" w:cs="Times New Roman"/>
          <w:szCs w:val="24"/>
          <w:u w:val="single"/>
        </w:rPr>
        <w:t>Required Reporting Certifications</w:t>
      </w:r>
      <w:r w:rsidRPr="136FCC1D">
        <w:rPr>
          <w:rFonts w:eastAsia="Times New Roman" w:cs="Times New Roman"/>
          <w:szCs w:val="24"/>
        </w:rPr>
        <w:t xml:space="preserve">: Per the revised Uniform Guidance, 2 CFR 200, if awarded federal pass-through funds, the LHD as well as all subrecipients of the LHD must certify the </w:t>
      </w:r>
      <w:r w:rsidRPr="136FCC1D">
        <w:rPr>
          <w:rFonts w:eastAsia="Times New Roman" w:cs="Times New Roman"/>
          <w:szCs w:val="24"/>
        </w:rPr>
        <w:lastRenderedPageBreak/>
        <w:t>following whenever 1) applying for funds, 2) requesting payment, and 3) submitting financial reports:</w:t>
      </w:r>
    </w:p>
    <w:p w14:paraId="67ED2F6C" w14:textId="45C8CCB3" w:rsidR="5B3B71E8" w:rsidRPr="009F38EE" w:rsidRDefault="28BB6D70" w:rsidP="009F38EE">
      <w:pPr>
        <w:pStyle w:val="AA-6pt"/>
        <w:numPr>
          <w:ilvl w:val="0"/>
          <w:numId w:val="0"/>
        </w:numPr>
        <w:spacing w:before="60"/>
        <w:ind w:left="2070"/>
        <w:rPr>
          <w:rFonts w:eastAsia="Times New Roman" w:cs="Times New Roman"/>
          <w:szCs w:val="24"/>
        </w:rPr>
      </w:pPr>
      <w:r w:rsidRPr="136FCC1D">
        <w:rPr>
          <w:rFonts w:eastAsia="Times New Roman" w:cs="Times New Roman"/>
          <w:szCs w:val="24"/>
        </w:rPr>
        <w:t>“I certify to the best of my knowledge and belief that the information provided herein is true, complete, and accurate. I am aware that the provision of false, fictitious, or fraudulent information, or the omission of any material fact, may subject me to criminal, civil, or administrative consequences including, but not limited to violations of U.S. Code Title 18, Sections 2, 1001, 1343 and Title 31, Sections 3729-3730 and 3801-3812.”</w:t>
      </w:r>
    </w:p>
    <w:sectPr w:rsidR="5B3B71E8" w:rsidRPr="009F38EE" w:rsidSect="00804AD8">
      <w:headerReference w:type="default" r:id="rId11"/>
      <w:headerReference w:type="first" r:id="rId12"/>
      <w:footerReference w:type="first" r:id="rId13"/>
      <w:pgSz w:w="12240" w:h="15840" w:code="1"/>
      <w:pgMar w:top="720" w:right="720" w:bottom="720" w:left="72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DB5D1" w14:textId="77777777" w:rsidR="00490ED5" w:rsidRDefault="00490ED5" w:rsidP="00804AD8">
      <w:r>
        <w:separator/>
      </w:r>
    </w:p>
    <w:p w14:paraId="6474D8E8" w14:textId="77777777" w:rsidR="00490ED5" w:rsidRDefault="00490ED5"/>
    <w:p w14:paraId="71B22F25" w14:textId="77777777" w:rsidR="00490ED5" w:rsidRDefault="00490ED5" w:rsidP="00B12371"/>
  </w:endnote>
  <w:endnote w:type="continuationSeparator" w:id="0">
    <w:p w14:paraId="10FBF5B3" w14:textId="77777777" w:rsidR="00490ED5" w:rsidRDefault="00490ED5" w:rsidP="00804AD8">
      <w:r>
        <w:continuationSeparator/>
      </w:r>
    </w:p>
    <w:p w14:paraId="2D0D85EE" w14:textId="77777777" w:rsidR="00490ED5" w:rsidRDefault="00490ED5"/>
    <w:p w14:paraId="7AD7D43F" w14:textId="77777777" w:rsidR="00490ED5" w:rsidRDefault="00490ED5" w:rsidP="00B123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28" w:type="dxa"/>
      <w:tblInd w:w="-5" w:type="dxa"/>
      <w:tblLook w:val="04A0" w:firstRow="1" w:lastRow="0" w:firstColumn="1" w:lastColumn="0" w:noHBand="0" w:noVBand="1"/>
    </w:tblPr>
    <w:tblGrid>
      <w:gridCol w:w="2435"/>
      <w:gridCol w:w="2070"/>
      <w:gridCol w:w="270"/>
      <w:gridCol w:w="1710"/>
      <w:gridCol w:w="361"/>
      <w:gridCol w:w="3959"/>
      <w:gridCol w:w="223"/>
    </w:tblGrid>
    <w:tr w:rsidR="00B849E1" w:rsidRPr="004067CC" w14:paraId="75A7F691" w14:textId="77777777" w:rsidTr="004067CC">
      <w:trPr>
        <w:trHeight w:val="445"/>
      </w:trPr>
      <w:tc>
        <w:tcPr>
          <w:tcW w:w="6485" w:type="dxa"/>
          <w:gridSpan w:val="4"/>
          <w:tcBorders>
            <w:bottom w:val="single" w:sz="4" w:space="0" w:color="auto"/>
          </w:tcBorders>
        </w:tcPr>
        <w:p w14:paraId="3DE83C01" w14:textId="77777777" w:rsidR="00B849E1" w:rsidRPr="004067CC" w:rsidRDefault="00B849E1" w:rsidP="006C144B">
          <w:pPr>
            <w:spacing w:before="600"/>
            <w:rPr>
              <w:sz w:val="20"/>
              <w:szCs w:val="20"/>
            </w:rPr>
          </w:pPr>
        </w:p>
      </w:tc>
      <w:tc>
        <w:tcPr>
          <w:tcW w:w="361" w:type="dxa"/>
        </w:tcPr>
        <w:p w14:paraId="1152C589" w14:textId="77777777" w:rsidR="00B849E1" w:rsidRPr="004067CC" w:rsidRDefault="00B849E1" w:rsidP="00B849E1">
          <w:pPr>
            <w:rPr>
              <w:sz w:val="20"/>
              <w:szCs w:val="20"/>
            </w:rPr>
          </w:pPr>
        </w:p>
      </w:tc>
      <w:tc>
        <w:tcPr>
          <w:tcW w:w="3959" w:type="dxa"/>
          <w:tcBorders>
            <w:bottom w:val="single" w:sz="4" w:space="0" w:color="auto"/>
          </w:tcBorders>
        </w:tcPr>
        <w:p w14:paraId="2F70E413" w14:textId="77777777" w:rsidR="00B849E1" w:rsidRPr="004067CC" w:rsidRDefault="00B849E1" w:rsidP="00B849E1">
          <w:pPr>
            <w:rPr>
              <w:sz w:val="20"/>
              <w:szCs w:val="20"/>
            </w:rPr>
          </w:pPr>
        </w:p>
      </w:tc>
      <w:tc>
        <w:tcPr>
          <w:tcW w:w="223" w:type="dxa"/>
        </w:tcPr>
        <w:p w14:paraId="18EA7570" w14:textId="77777777" w:rsidR="00B849E1" w:rsidRPr="004067CC" w:rsidRDefault="00B849E1" w:rsidP="00B849E1">
          <w:pPr>
            <w:rPr>
              <w:sz w:val="20"/>
              <w:szCs w:val="20"/>
            </w:rPr>
          </w:pPr>
        </w:p>
      </w:tc>
    </w:tr>
    <w:tr w:rsidR="00B849E1" w:rsidRPr="004067CC" w14:paraId="07C9CD88" w14:textId="77777777" w:rsidTr="004067CC">
      <w:trPr>
        <w:trHeight w:val="437"/>
      </w:trPr>
      <w:tc>
        <w:tcPr>
          <w:tcW w:w="6485" w:type="dxa"/>
          <w:gridSpan w:val="4"/>
          <w:tcBorders>
            <w:top w:val="single" w:sz="4" w:space="0" w:color="auto"/>
            <w:bottom w:val="single" w:sz="4" w:space="0" w:color="auto"/>
          </w:tcBorders>
        </w:tcPr>
        <w:p w14:paraId="47AB114F" w14:textId="079687B9" w:rsidR="00B849E1" w:rsidRPr="004067CC" w:rsidRDefault="00B849E1" w:rsidP="00B849E1">
          <w:pPr>
            <w:rPr>
              <w:sz w:val="20"/>
              <w:szCs w:val="20"/>
            </w:rPr>
          </w:pPr>
          <w:r w:rsidRPr="004067CC">
            <w:rPr>
              <w:sz w:val="20"/>
              <w:szCs w:val="20"/>
            </w:rPr>
            <w:t xml:space="preserve">Health Director Signature   </w:t>
          </w:r>
          <w:r w:rsidR="004067CC">
            <w:rPr>
              <w:sz w:val="20"/>
              <w:szCs w:val="20"/>
            </w:rPr>
            <w:t xml:space="preserve"> </w:t>
          </w:r>
          <w:proofErr w:type="gramStart"/>
          <w:r w:rsidR="004067CC">
            <w:rPr>
              <w:sz w:val="20"/>
              <w:szCs w:val="20"/>
            </w:rPr>
            <w:t xml:space="preserve"> </w:t>
          </w:r>
          <w:r w:rsidRPr="004067CC">
            <w:rPr>
              <w:sz w:val="20"/>
              <w:szCs w:val="20"/>
            </w:rPr>
            <w:t xml:space="preserve">  (</w:t>
          </w:r>
          <w:proofErr w:type="gramEnd"/>
          <w:r w:rsidRPr="004067CC">
            <w:rPr>
              <w:sz w:val="20"/>
              <w:szCs w:val="20"/>
            </w:rPr>
            <w:t>use blue ink or verifiable digital signature)</w:t>
          </w:r>
        </w:p>
      </w:tc>
      <w:tc>
        <w:tcPr>
          <w:tcW w:w="361" w:type="dxa"/>
          <w:tcBorders>
            <w:bottom w:val="single" w:sz="4" w:space="0" w:color="auto"/>
          </w:tcBorders>
        </w:tcPr>
        <w:p w14:paraId="08C3EEA0" w14:textId="77777777" w:rsidR="00B849E1" w:rsidRPr="004067CC" w:rsidRDefault="00B849E1" w:rsidP="00B849E1">
          <w:pPr>
            <w:rPr>
              <w:sz w:val="20"/>
              <w:szCs w:val="20"/>
            </w:rPr>
          </w:pPr>
        </w:p>
      </w:tc>
      <w:tc>
        <w:tcPr>
          <w:tcW w:w="3959" w:type="dxa"/>
          <w:tcBorders>
            <w:top w:val="single" w:sz="4" w:space="0" w:color="auto"/>
            <w:bottom w:val="single" w:sz="4" w:space="0" w:color="auto"/>
          </w:tcBorders>
        </w:tcPr>
        <w:p w14:paraId="5FA62B51" w14:textId="77777777" w:rsidR="00B849E1" w:rsidRPr="004067CC" w:rsidRDefault="00B849E1" w:rsidP="00B849E1">
          <w:pPr>
            <w:rPr>
              <w:sz w:val="20"/>
              <w:szCs w:val="20"/>
            </w:rPr>
          </w:pPr>
          <w:r w:rsidRPr="004067CC">
            <w:rPr>
              <w:sz w:val="20"/>
              <w:szCs w:val="20"/>
            </w:rPr>
            <w:t>Date</w:t>
          </w:r>
        </w:p>
      </w:tc>
      <w:tc>
        <w:tcPr>
          <w:tcW w:w="223" w:type="dxa"/>
          <w:tcBorders>
            <w:bottom w:val="single" w:sz="4" w:space="0" w:color="auto"/>
          </w:tcBorders>
        </w:tcPr>
        <w:p w14:paraId="04D8AF4D" w14:textId="77777777" w:rsidR="00B849E1" w:rsidRPr="004067CC" w:rsidRDefault="00B849E1" w:rsidP="00B849E1">
          <w:pPr>
            <w:rPr>
              <w:sz w:val="20"/>
              <w:szCs w:val="20"/>
            </w:rPr>
          </w:pPr>
        </w:p>
      </w:tc>
    </w:tr>
    <w:tr w:rsidR="00B849E1" w:rsidRPr="004067CC" w14:paraId="177B8D74" w14:textId="77777777" w:rsidTr="004067CC">
      <w:trPr>
        <w:trHeight w:val="349"/>
      </w:trPr>
      <w:tc>
        <w:tcPr>
          <w:tcW w:w="2435" w:type="dxa"/>
          <w:vMerge w:val="restart"/>
          <w:tcBorders>
            <w:top w:val="single" w:sz="4" w:space="0" w:color="auto"/>
            <w:left w:val="single" w:sz="4" w:space="0" w:color="auto"/>
          </w:tcBorders>
          <w:vAlign w:val="center"/>
        </w:tcPr>
        <w:p w14:paraId="63DE827E" w14:textId="77777777" w:rsidR="00B849E1" w:rsidRPr="00386435" w:rsidRDefault="00B849E1" w:rsidP="00386435">
          <w:pPr>
            <w:pStyle w:val="AABoxEtc"/>
            <w:rPr>
              <w:sz w:val="20"/>
              <w:szCs w:val="20"/>
            </w:rPr>
          </w:pPr>
          <w:r w:rsidRPr="00386435">
            <w:rPr>
              <w:sz w:val="20"/>
              <w:szCs w:val="20"/>
            </w:rPr>
            <w:t>LHD to complete:</w:t>
          </w:r>
        </w:p>
        <w:p w14:paraId="6A40FC6E" w14:textId="68487CE7" w:rsidR="00B849E1" w:rsidRPr="004067CC" w:rsidRDefault="00E868CE" w:rsidP="00386435">
          <w:pPr>
            <w:pStyle w:val="AABoxEtc"/>
            <w:rPr>
              <w:sz w:val="16"/>
              <w:szCs w:val="16"/>
            </w:rPr>
          </w:pPr>
          <w:r>
            <w:rPr>
              <w:sz w:val="16"/>
              <w:szCs w:val="16"/>
            </w:rPr>
            <w:t>[</w:t>
          </w:r>
          <w:r w:rsidR="00B849E1" w:rsidRPr="004067CC">
            <w:rPr>
              <w:sz w:val="16"/>
              <w:szCs w:val="16"/>
            </w:rPr>
            <w:t xml:space="preserve">For DPH to contact in case </w:t>
          </w:r>
          <w:r w:rsidR="00B849E1" w:rsidRPr="004067CC">
            <w:rPr>
              <w:sz w:val="16"/>
              <w:szCs w:val="16"/>
            </w:rPr>
            <w:br/>
            <w:t>follow-up information is needed.</w:t>
          </w:r>
          <w:r>
            <w:rPr>
              <w:sz w:val="16"/>
              <w:szCs w:val="16"/>
            </w:rPr>
            <w:t>]</w:t>
          </w:r>
        </w:p>
      </w:tc>
      <w:tc>
        <w:tcPr>
          <w:tcW w:w="2340" w:type="dxa"/>
          <w:gridSpan w:val="2"/>
          <w:tcBorders>
            <w:top w:val="single" w:sz="4" w:space="0" w:color="auto"/>
          </w:tcBorders>
          <w:vAlign w:val="bottom"/>
        </w:tcPr>
        <w:p w14:paraId="5A20EDF0" w14:textId="77777777" w:rsidR="00B849E1" w:rsidRPr="004067CC" w:rsidRDefault="00B849E1" w:rsidP="00386435">
          <w:pPr>
            <w:pStyle w:val="AABoxEtc"/>
          </w:pPr>
          <w:r w:rsidRPr="004067CC">
            <w:t xml:space="preserve">LHD program contact name: </w:t>
          </w:r>
        </w:p>
      </w:tc>
      <w:tc>
        <w:tcPr>
          <w:tcW w:w="6030" w:type="dxa"/>
          <w:gridSpan w:val="3"/>
          <w:tcBorders>
            <w:top w:val="single" w:sz="4" w:space="0" w:color="auto"/>
            <w:bottom w:val="single" w:sz="4" w:space="0" w:color="auto"/>
          </w:tcBorders>
        </w:tcPr>
        <w:p w14:paraId="3C54F232" w14:textId="77777777" w:rsidR="00B849E1" w:rsidRPr="004067CC" w:rsidRDefault="00B849E1" w:rsidP="00386435">
          <w:pPr>
            <w:pStyle w:val="AABoxEtc"/>
          </w:pPr>
        </w:p>
      </w:tc>
      <w:tc>
        <w:tcPr>
          <w:tcW w:w="223" w:type="dxa"/>
          <w:tcBorders>
            <w:top w:val="single" w:sz="4" w:space="0" w:color="auto"/>
            <w:right w:val="single" w:sz="4" w:space="0" w:color="auto"/>
          </w:tcBorders>
        </w:tcPr>
        <w:p w14:paraId="21DC321F" w14:textId="77777777" w:rsidR="00B849E1" w:rsidRPr="004067CC" w:rsidRDefault="00B849E1" w:rsidP="00386435">
          <w:pPr>
            <w:pStyle w:val="AABoxEtc"/>
          </w:pPr>
        </w:p>
      </w:tc>
    </w:tr>
    <w:tr w:rsidR="00B849E1" w:rsidRPr="004067CC" w14:paraId="194C299A" w14:textId="77777777" w:rsidTr="004067CC">
      <w:trPr>
        <w:trHeight w:val="343"/>
      </w:trPr>
      <w:tc>
        <w:tcPr>
          <w:tcW w:w="2435" w:type="dxa"/>
          <w:vMerge/>
          <w:tcBorders>
            <w:left w:val="single" w:sz="4" w:space="0" w:color="auto"/>
          </w:tcBorders>
        </w:tcPr>
        <w:p w14:paraId="79EE6BD6" w14:textId="77777777" w:rsidR="00B849E1" w:rsidRPr="004067CC" w:rsidRDefault="00B849E1" w:rsidP="00386435">
          <w:pPr>
            <w:pStyle w:val="AABoxEtc"/>
          </w:pPr>
        </w:p>
      </w:tc>
      <w:tc>
        <w:tcPr>
          <w:tcW w:w="2070" w:type="dxa"/>
          <w:vAlign w:val="bottom"/>
        </w:tcPr>
        <w:p w14:paraId="4AABE2A2" w14:textId="77777777" w:rsidR="00B849E1" w:rsidRPr="004067CC" w:rsidRDefault="00B849E1" w:rsidP="00386435">
          <w:pPr>
            <w:pStyle w:val="AABoxEtc"/>
          </w:pPr>
          <w:r w:rsidRPr="004067CC">
            <w:t>Phone and email address:</w:t>
          </w:r>
        </w:p>
      </w:tc>
      <w:tc>
        <w:tcPr>
          <w:tcW w:w="6300" w:type="dxa"/>
          <w:gridSpan w:val="4"/>
          <w:tcBorders>
            <w:bottom w:val="single" w:sz="4" w:space="0" w:color="auto"/>
          </w:tcBorders>
        </w:tcPr>
        <w:p w14:paraId="3F223E4A" w14:textId="77777777" w:rsidR="00B849E1" w:rsidRPr="004067CC" w:rsidRDefault="00B849E1" w:rsidP="00386435">
          <w:pPr>
            <w:pStyle w:val="AABoxEtc"/>
          </w:pPr>
        </w:p>
      </w:tc>
      <w:tc>
        <w:tcPr>
          <w:tcW w:w="223" w:type="dxa"/>
          <w:tcBorders>
            <w:right w:val="single" w:sz="4" w:space="0" w:color="auto"/>
          </w:tcBorders>
        </w:tcPr>
        <w:p w14:paraId="1FBC63C4" w14:textId="77777777" w:rsidR="00B849E1" w:rsidRPr="004067CC" w:rsidRDefault="00B849E1" w:rsidP="00386435">
          <w:pPr>
            <w:pStyle w:val="AABoxEtc"/>
          </w:pPr>
        </w:p>
      </w:tc>
    </w:tr>
    <w:tr w:rsidR="00B849E1" w:rsidRPr="004067CC" w14:paraId="43B39B18" w14:textId="77777777" w:rsidTr="00210D54">
      <w:trPr>
        <w:trHeight w:val="98"/>
      </w:trPr>
      <w:tc>
        <w:tcPr>
          <w:tcW w:w="2435" w:type="dxa"/>
          <w:vMerge/>
          <w:tcBorders>
            <w:left w:val="single" w:sz="4" w:space="0" w:color="auto"/>
            <w:bottom w:val="single" w:sz="4" w:space="0" w:color="auto"/>
          </w:tcBorders>
        </w:tcPr>
        <w:p w14:paraId="19E4B2CB" w14:textId="77777777" w:rsidR="00B849E1" w:rsidRPr="004067CC" w:rsidRDefault="00B849E1" w:rsidP="00386435">
          <w:pPr>
            <w:pStyle w:val="AABoxEtc"/>
          </w:pPr>
        </w:p>
      </w:tc>
      <w:tc>
        <w:tcPr>
          <w:tcW w:w="8370" w:type="dxa"/>
          <w:gridSpan w:val="5"/>
          <w:tcBorders>
            <w:bottom w:val="single" w:sz="4" w:space="0" w:color="auto"/>
          </w:tcBorders>
        </w:tcPr>
        <w:p w14:paraId="75ABD1E9" w14:textId="77777777" w:rsidR="00B849E1" w:rsidRPr="004067CC" w:rsidRDefault="00B849E1" w:rsidP="00386435">
          <w:pPr>
            <w:pStyle w:val="AABoxEtc"/>
            <w:rPr>
              <w:sz w:val="12"/>
              <w:szCs w:val="12"/>
            </w:rPr>
          </w:pPr>
        </w:p>
      </w:tc>
      <w:tc>
        <w:tcPr>
          <w:tcW w:w="223" w:type="dxa"/>
          <w:tcBorders>
            <w:bottom w:val="single" w:sz="4" w:space="0" w:color="auto"/>
            <w:right w:val="single" w:sz="4" w:space="0" w:color="auto"/>
          </w:tcBorders>
        </w:tcPr>
        <w:p w14:paraId="5BA0D260" w14:textId="77777777" w:rsidR="00B849E1" w:rsidRPr="004067CC" w:rsidRDefault="00B849E1" w:rsidP="00386435">
          <w:pPr>
            <w:pStyle w:val="AABoxEtc"/>
            <w:rPr>
              <w:sz w:val="12"/>
              <w:szCs w:val="12"/>
            </w:rPr>
          </w:pPr>
        </w:p>
      </w:tc>
    </w:tr>
  </w:tbl>
  <w:p w14:paraId="63E406DD" w14:textId="76345E72" w:rsidR="00B849E1" w:rsidRPr="00A72940" w:rsidRDefault="136FCC1D" w:rsidP="00A72940">
    <w:pPr>
      <w:pStyle w:val="Footer"/>
      <w:rPr>
        <w:b w:val="0"/>
        <w:bCs w:val="0"/>
        <w:sz w:val="16"/>
        <w:szCs w:val="16"/>
      </w:rPr>
    </w:pPr>
    <w:r>
      <w:t xml:space="preserve">Signature on this page signifies you have read and accepted all pages of this document.      </w:t>
    </w:r>
    <w:r w:rsidRPr="136FCC1D">
      <w:rPr>
        <w:b w:val="0"/>
        <w:bCs w:val="0"/>
        <w:sz w:val="16"/>
        <w:szCs w:val="16"/>
      </w:rPr>
      <w:t xml:space="preserve">Template rev. </w:t>
    </w:r>
    <w:r w:rsidR="00AC42C4">
      <w:rPr>
        <w:b w:val="0"/>
        <w:bCs w:val="0"/>
        <w:sz w:val="16"/>
        <w:szCs w:val="16"/>
      </w:rPr>
      <w:t>June</w:t>
    </w:r>
    <w:r w:rsidR="008073C0">
      <w:rPr>
        <w:b w:val="0"/>
        <w:bCs w:val="0"/>
        <w:sz w:val="16"/>
        <w:szCs w:val="16"/>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23561" w14:textId="77777777" w:rsidR="00490ED5" w:rsidRDefault="00490ED5" w:rsidP="00804AD8">
      <w:r>
        <w:separator/>
      </w:r>
    </w:p>
    <w:p w14:paraId="66A6A067" w14:textId="77777777" w:rsidR="00490ED5" w:rsidRDefault="00490ED5"/>
    <w:p w14:paraId="21648B47" w14:textId="77777777" w:rsidR="00490ED5" w:rsidRDefault="00490ED5" w:rsidP="00B12371"/>
  </w:footnote>
  <w:footnote w:type="continuationSeparator" w:id="0">
    <w:p w14:paraId="127EB60F" w14:textId="77777777" w:rsidR="00490ED5" w:rsidRDefault="00490ED5" w:rsidP="00804AD8">
      <w:r>
        <w:continuationSeparator/>
      </w:r>
    </w:p>
    <w:p w14:paraId="221B15F3" w14:textId="77777777" w:rsidR="00490ED5" w:rsidRDefault="00490ED5"/>
    <w:p w14:paraId="0425BD1C" w14:textId="77777777" w:rsidR="00490ED5" w:rsidRDefault="00490ED5" w:rsidP="00B123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F36B7" w14:textId="477B3EC9" w:rsidR="004067CC" w:rsidRPr="004067CC" w:rsidRDefault="004067CC" w:rsidP="004067CC">
    <w:pPr>
      <w:pStyle w:val="Header"/>
      <w:tabs>
        <w:tab w:val="clear" w:pos="4680"/>
        <w:tab w:val="clear" w:pos="9360"/>
      </w:tabs>
      <w:spacing w:after="120"/>
      <w:jc w:val="right"/>
      <w:rPr>
        <w:b/>
        <w:bCs/>
      </w:rPr>
    </w:pPr>
    <w:r w:rsidRPr="00804AD8">
      <w:rPr>
        <w:b/>
        <w:bCs/>
      </w:rPr>
      <w:t xml:space="preserve">Page </w:t>
    </w:r>
    <w:r w:rsidRPr="00804AD8">
      <w:rPr>
        <w:b/>
        <w:bCs/>
      </w:rPr>
      <w:fldChar w:fldCharType="begin"/>
    </w:r>
    <w:r w:rsidRPr="00804AD8">
      <w:rPr>
        <w:b/>
        <w:bCs/>
      </w:rPr>
      <w:instrText xml:space="preserve"> PAGE   \* MERGEFORMAT </w:instrText>
    </w:r>
    <w:r w:rsidRPr="00804AD8">
      <w:rPr>
        <w:b/>
        <w:bCs/>
      </w:rPr>
      <w:fldChar w:fldCharType="separate"/>
    </w:r>
    <w:r>
      <w:rPr>
        <w:b/>
        <w:bCs/>
      </w:rPr>
      <w:t>1</w:t>
    </w:r>
    <w:r w:rsidRPr="00804AD8">
      <w:rPr>
        <w:b/>
        <w:bCs/>
      </w:rPr>
      <w:fldChar w:fldCharType="end"/>
    </w:r>
    <w:r w:rsidRPr="00804AD8">
      <w:rPr>
        <w:b/>
        <w:bCs/>
      </w:rPr>
      <w:t xml:space="preserve"> of </w:t>
    </w:r>
    <w:r w:rsidRPr="00804AD8">
      <w:rPr>
        <w:b/>
        <w:bCs/>
      </w:rPr>
      <w:fldChar w:fldCharType="begin"/>
    </w:r>
    <w:r w:rsidRPr="00804AD8">
      <w:rPr>
        <w:b/>
        <w:bCs/>
      </w:rPr>
      <w:instrText xml:space="preserve"> NUMPAGES   \* MERGEFORMAT </w:instrText>
    </w:r>
    <w:r w:rsidRPr="00804AD8">
      <w:rPr>
        <w:b/>
        <w:bCs/>
      </w:rPr>
      <w:fldChar w:fldCharType="separate"/>
    </w:r>
    <w:r>
      <w:rPr>
        <w:b/>
        <w:bCs/>
      </w:rPr>
      <w:t>1</w:t>
    </w:r>
    <w:r w:rsidRPr="00804AD8">
      <w:rP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27211" w14:textId="3CFB818B" w:rsidR="00804AD8" w:rsidRPr="00804AD8" w:rsidRDefault="00804AD8" w:rsidP="00804AD8">
    <w:pPr>
      <w:pStyle w:val="Header"/>
      <w:tabs>
        <w:tab w:val="clear" w:pos="4680"/>
        <w:tab w:val="clear" w:pos="9360"/>
      </w:tabs>
      <w:jc w:val="center"/>
      <w:rPr>
        <w:b/>
        <w:bCs/>
        <w:sz w:val="40"/>
        <w:szCs w:val="40"/>
      </w:rPr>
    </w:pPr>
    <w:r w:rsidRPr="00804AD8">
      <w:rPr>
        <w:b/>
        <w:bCs/>
        <w:sz w:val="40"/>
        <w:szCs w:val="40"/>
      </w:rPr>
      <w:t>Division of Public Health</w:t>
    </w:r>
  </w:p>
  <w:p w14:paraId="3973E9DB" w14:textId="7384CA1F" w:rsidR="00804AD8" w:rsidRPr="00804AD8" w:rsidRDefault="00804AD8" w:rsidP="00804AD8">
    <w:pPr>
      <w:pStyle w:val="Header"/>
      <w:tabs>
        <w:tab w:val="clear" w:pos="4680"/>
        <w:tab w:val="clear" w:pos="9360"/>
      </w:tabs>
      <w:jc w:val="center"/>
      <w:rPr>
        <w:b/>
        <w:bCs/>
        <w:sz w:val="40"/>
        <w:szCs w:val="40"/>
      </w:rPr>
    </w:pPr>
    <w:r w:rsidRPr="00804AD8">
      <w:rPr>
        <w:b/>
        <w:bCs/>
        <w:sz w:val="40"/>
        <w:szCs w:val="40"/>
      </w:rPr>
      <w:t>Agreement Addendum</w:t>
    </w:r>
  </w:p>
  <w:p w14:paraId="484AF961" w14:textId="7A5DE90E" w:rsidR="00804AD8" w:rsidRPr="00804AD8" w:rsidRDefault="00804AD8" w:rsidP="00804AD8">
    <w:pPr>
      <w:pStyle w:val="Header"/>
      <w:tabs>
        <w:tab w:val="clear" w:pos="4680"/>
        <w:tab w:val="clear" w:pos="9360"/>
      </w:tabs>
      <w:jc w:val="center"/>
      <w:rPr>
        <w:b/>
        <w:bCs/>
        <w:sz w:val="40"/>
        <w:szCs w:val="40"/>
      </w:rPr>
    </w:pPr>
    <w:r w:rsidRPr="00804AD8">
      <w:rPr>
        <w:b/>
        <w:bCs/>
        <w:sz w:val="40"/>
        <w:szCs w:val="40"/>
      </w:rPr>
      <w:t>FY 2</w:t>
    </w:r>
    <w:r w:rsidR="008073C0">
      <w:rPr>
        <w:b/>
        <w:bCs/>
        <w:sz w:val="40"/>
        <w:szCs w:val="40"/>
      </w:rPr>
      <w:t>6</w:t>
    </w:r>
    <w:r w:rsidRPr="00804AD8">
      <w:rPr>
        <w:b/>
        <w:bCs/>
        <w:sz w:val="40"/>
        <w:szCs w:val="40"/>
      </w:rPr>
      <w:t>-2</w:t>
    </w:r>
    <w:r w:rsidR="008073C0">
      <w:rPr>
        <w:b/>
        <w:bCs/>
        <w:sz w:val="40"/>
        <w:szCs w:val="40"/>
      </w:rPr>
      <w:t>7</w:t>
    </w:r>
  </w:p>
  <w:p w14:paraId="2B6D18D0" w14:textId="2C8179DD" w:rsidR="00804AD8" w:rsidRPr="00804AD8" w:rsidRDefault="00804AD8" w:rsidP="00804AD8">
    <w:pPr>
      <w:pStyle w:val="Header"/>
      <w:tabs>
        <w:tab w:val="clear" w:pos="4680"/>
        <w:tab w:val="clear" w:pos="9360"/>
      </w:tabs>
      <w:spacing w:after="120"/>
      <w:jc w:val="right"/>
      <w:rPr>
        <w:b/>
        <w:bCs/>
      </w:rPr>
    </w:pPr>
    <w:r w:rsidRPr="00804AD8">
      <w:rPr>
        <w:b/>
        <w:bCs/>
      </w:rPr>
      <w:t xml:space="preserve">Page </w:t>
    </w:r>
    <w:r w:rsidRPr="00804AD8">
      <w:rPr>
        <w:b/>
        <w:bCs/>
      </w:rPr>
      <w:fldChar w:fldCharType="begin"/>
    </w:r>
    <w:r w:rsidRPr="00804AD8">
      <w:rPr>
        <w:b/>
        <w:bCs/>
      </w:rPr>
      <w:instrText xml:space="preserve"> PAGE   \* MERGEFORMAT </w:instrText>
    </w:r>
    <w:r w:rsidRPr="00804AD8">
      <w:rPr>
        <w:b/>
        <w:bCs/>
      </w:rPr>
      <w:fldChar w:fldCharType="separate"/>
    </w:r>
    <w:r w:rsidRPr="00804AD8">
      <w:rPr>
        <w:b/>
        <w:bCs/>
        <w:noProof/>
      </w:rPr>
      <w:t>1</w:t>
    </w:r>
    <w:r w:rsidRPr="00804AD8">
      <w:rPr>
        <w:b/>
        <w:bCs/>
      </w:rPr>
      <w:fldChar w:fldCharType="end"/>
    </w:r>
    <w:r w:rsidRPr="00804AD8">
      <w:rPr>
        <w:b/>
        <w:bCs/>
      </w:rPr>
      <w:t xml:space="preserve"> of </w:t>
    </w:r>
    <w:r w:rsidRPr="00804AD8">
      <w:rPr>
        <w:b/>
        <w:bCs/>
      </w:rPr>
      <w:fldChar w:fldCharType="begin"/>
    </w:r>
    <w:r w:rsidRPr="00804AD8">
      <w:rPr>
        <w:b/>
        <w:bCs/>
      </w:rPr>
      <w:instrText xml:space="preserve"> NUMPAGES   \* MERGEFORMAT </w:instrText>
    </w:r>
    <w:r w:rsidRPr="00804AD8">
      <w:rPr>
        <w:b/>
        <w:bCs/>
      </w:rPr>
      <w:fldChar w:fldCharType="separate"/>
    </w:r>
    <w:r w:rsidRPr="00804AD8">
      <w:rPr>
        <w:b/>
        <w:bCs/>
        <w:noProof/>
      </w:rPr>
      <w:t>1</w:t>
    </w:r>
    <w:r w:rsidRPr="00804AD8">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F2FF7"/>
    <w:multiLevelType w:val="hybridMultilevel"/>
    <w:tmpl w:val="2C74EB04"/>
    <w:lvl w:ilvl="0" w:tplc="0409000F">
      <w:start w:val="1"/>
      <w:numFmt w:val="decimal"/>
      <w:lvlText w:val="%1."/>
      <w:lvlJc w:val="left"/>
      <w:pPr>
        <w:ind w:left="720" w:hanging="360"/>
      </w:pPr>
    </w:lvl>
    <w:lvl w:ilvl="1" w:tplc="9D1E00CC">
      <w:start w:val="1"/>
      <w:numFmt w:val="decimal"/>
      <w:lvlText w:val="%2."/>
      <w:lvlJc w:val="left"/>
      <w:pPr>
        <w:ind w:left="1440" w:hanging="360"/>
      </w:pPr>
      <w:rPr>
        <w:rFonts w:ascii="Times New Roman" w:eastAsiaTheme="minorHAnsi" w:hAnsi="Times New Roman"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2F6B81"/>
    <w:multiLevelType w:val="multilevel"/>
    <w:tmpl w:val="0409001D"/>
    <w:styleLink w:val="AANbr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39E5024"/>
    <w:multiLevelType w:val="multilevel"/>
    <w:tmpl w:val="DA464100"/>
    <w:lvl w:ilvl="0">
      <w:start w:val="1"/>
      <w:numFmt w:val="lowerLetter"/>
      <w:lvlText w:val="%1."/>
      <w:lvlJc w:val="left"/>
      <w:pPr>
        <w:ind w:left="1440" w:hanging="360"/>
      </w:pPr>
      <w:rPr>
        <w:rFonts w:hint="default"/>
      </w:rPr>
    </w:lvl>
    <w:lvl w:ilvl="1">
      <w:start w:val="1"/>
      <w:numFmt w:val="lowerLetter"/>
      <w:lvlText w:val="%2."/>
      <w:lvlJc w:val="left"/>
      <w:pPr>
        <w:ind w:left="1800" w:hanging="360"/>
      </w:pPr>
      <w:rPr>
        <w:rFonts w:hint="default"/>
      </w:rPr>
    </w:lvl>
    <w:lvl w:ilvl="2">
      <w:start w:val="1"/>
      <w:numFmt w:val="decimal"/>
      <w:lvlText w:val="%3."/>
      <w:lvlJc w:val="left"/>
      <w:pPr>
        <w:ind w:left="2520" w:hanging="360"/>
      </w:pPr>
      <w:rPr>
        <w:rFonts w:hint="default"/>
      </w:rPr>
    </w:lvl>
    <w:lvl w:ilvl="3">
      <w:start w:val="1"/>
      <w:numFmt w:val="lowerLetter"/>
      <w:lvlText w:val="%4."/>
      <w:lvlJc w:val="left"/>
      <w:pPr>
        <w:ind w:left="3240" w:hanging="360"/>
      </w:pPr>
      <w:rPr>
        <w:rFonts w:hint="default"/>
      </w:rPr>
    </w:lvl>
    <w:lvl w:ilvl="4">
      <w:start w:val="1"/>
      <w:numFmt w:val="decimal"/>
      <w:lvlText w:val="%5)"/>
      <w:lvlJc w:val="left"/>
      <w:pPr>
        <w:ind w:left="3960" w:hanging="360"/>
      </w:pPr>
      <w:rPr>
        <w:rFonts w:hint="default"/>
      </w:rPr>
    </w:lvl>
    <w:lvl w:ilvl="5">
      <w:start w:val="1"/>
      <w:numFmt w:val="lowerLetter"/>
      <w:lvlText w:val="%6)"/>
      <w:lvlJc w:val="left"/>
      <w:pPr>
        <w:ind w:left="468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decimal"/>
      <w:lvlRestart w:val="0"/>
      <w:lvlText w:val="%9)"/>
      <w:lvlJc w:val="left"/>
      <w:pPr>
        <w:ind w:left="6840" w:hanging="360"/>
      </w:pPr>
      <w:rPr>
        <w:rFonts w:hint="default"/>
      </w:rPr>
    </w:lvl>
  </w:abstractNum>
  <w:abstractNum w:abstractNumId="3" w15:restartNumberingAfterBreak="0">
    <w:nsid w:val="1F0A7B9F"/>
    <w:multiLevelType w:val="hybridMultilevel"/>
    <w:tmpl w:val="9350E74A"/>
    <w:lvl w:ilvl="0" w:tplc="246EFD22">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193927"/>
    <w:multiLevelType w:val="multilevel"/>
    <w:tmpl w:val="A5948C72"/>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Letter"/>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decimal"/>
      <w:lvlRestart w:val="0"/>
      <w:lvlText w:val="%9)"/>
      <w:lvlJc w:val="left"/>
      <w:pPr>
        <w:ind w:left="6480" w:hanging="360"/>
      </w:pPr>
      <w:rPr>
        <w:rFonts w:hint="default"/>
      </w:rPr>
    </w:lvl>
  </w:abstractNum>
  <w:abstractNum w:abstractNumId="5" w15:restartNumberingAfterBreak="0">
    <w:nsid w:val="3CB11488"/>
    <w:multiLevelType w:val="multilevel"/>
    <w:tmpl w:val="E17E42F4"/>
    <w:lvl w:ilvl="0">
      <w:start w:val="1"/>
      <w:numFmt w:val="lowerLetter"/>
      <w:lvlText w:val="%1."/>
      <w:lvlJc w:val="left"/>
      <w:pPr>
        <w:ind w:left="1440" w:hanging="360"/>
      </w:pPr>
      <w:rPr>
        <w:rFonts w:hint="default"/>
      </w:rPr>
    </w:lvl>
    <w:lvl w:ilvl="1">
      <w:start w:val="1"/>
      <w:numFmt w:val="lowerLetter"/>
      <w:lvlText w:val="%2."/>
      <w:lvlJc w:val="left"/>
      <w:pPr>
        <w:ind w:left="1800" w:hanging="360"/>
      </w:pPr>
      <w:rPr>
        <w:rFonts w:hint="default"/>
      </w:rPr>
    </w:lvl>
    <w:lvl w:ilvl="2">
      <w:start w:val="1"/>
      <w:numFmt w:val="decimal"/>
      <w:lvlText w:val="%3."/>
      <w:lvlJc w:val="left"/>
      <w:pPr>
        <w:ind w:left="2520" w:hanging="360"/>
      </w:pPr>
      <w:rPr>
        <w:rFonts w:hint="default"/>
      </w:rPr>
    </w:lvl>
    <w:lvl w:ilvl="3">
      <w:start w:val="1"/>
      <w:numFmt w:val="lowerLetter"/>
      <w:lvlText w:val="%4."/>
      <w:lvlJc w:val="left"/>
      <w:pPr>
        <w:ind w:left="3240" w:hanging="360"/>
      </w:pPr>
      <w:rPr>
        <w:rFonts w:hint="default"/>
      </w:rPr>
    </w:lvl>
    <w:lvl w:ilvl="4">
      <w:start w:val="1"/>
      <w:numFmt w:val="decimal"/>
      <w:lvlText w:val="%5)"/>
      <w:lvlJc w:val="left"/>
      <w:pPr>
        <w:ind w:left="3960" w:hanging="360"/>
      </w:pPr>
      <w:rPr>
        <w:rFonts w:hint="default"/>
      </w:rPr>
    </w:lvl>
    <w:lvl w:ilvl="5">
      <w:start w:val="1"/>
      <w:numFmt w:val="lowerLetter"/>
      <w:lvlText w:val="%6)"/>
      <w:lvlJc w:val="left"/>
      <w:pPr>
        <w:ind w:left="468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decimal"/>
      <w:lvlRestart w:val="0"/>
      <w:lvlText w:val="%9)"/>
      <w:lvlJc w:val="left"/>
      <w:pPr>
        <w:ind w:left="6840" w:hanging="360"/>
      </w:pPr>
      <w:rPr>
        <w:rFonts w:hint="default"/>
      </w:rPr>
    </w:lvl>
  </w:abstractNum>
  <w:abstractNum w:abstractNumId="6" w15:restartNumberingAfterBreak="0">
    <w:nsid w:val="4CC7336B"/>
    <w:multiLevelType w:val="multilevel"/>
    <w:tmpl w:val="D662016E"/>
    <w:lvl w:ilvl="0">
      <w:start w:val="1"/>
      <w:numFmt w:val="lowerLetter"/>
      <w:lvlText w:val="%1."/>
      <w:lvlJc w:val="left"/>
      <w:pPr>
        <w:ind w:left="1440" w:hanging="360"/>
      </w:pPr>
      <w:rPr>
        <w:rFonts w:hint="default"/>
      </w:rPr>
    </w:lvl>
    <w:lvl w:ilvl="1">
      <w:start w:val="1"/>
      <w:numFmt w:val="lowerLetter"/>
      <w:lvlText w:val="%2."/>
      <w:lvlJc w:val="left"/>
      <w:pPr>
        <w:ind w:left="1800" w:hanging="360"/>
      </w:pPr>
      <w:rPr>
        <w:rFonts w:hint="default"/>
      </w:rPr>
    </w:lvl>
    <w:lvl w:ilvl="2">
      <w:start w:val="1"/>
      <w:numFmt w:val="decimal"/>
      <w:lvlText w:val="%3."/>
      <w:lvlJc w:val="left"/>
      <w:pPr>
        <w:ind w:left="2520" w:hanging="360"/>
      </w:pPr>
      <w:rPr>
        <w:rFonts w:hint="default"/>
      </w:rPr>
    </w:lvl>
    <w:lvl w:ilvl="3">
      <w:start w:val="1"/>
      <w:numFmt w:val="lowerLetter"/>
      <w:lvlText w:val="%4."/>
      <w:lvlJc w:val="left"/>
      <w:pPr>
        <w:ind w:left="3240" w:hanging="360"/>
      </w:pPr>
      <w:rPr>
        <w:rFonts w:hint="default"/>
      </w:rPr>
    </w:lvl>
    <w:lvl w:ilvl="4">
      <w:start w:val="1"/>
      <w:numFmt w:val="decimal"/>
      <w:lvlText w:val="%5)"/>
      <w:lvlJc w:val="left"/>
      <w:pPr>
        <w:ind w:left="3960" w:hanging="360"/>
      </w:pPr>
      <w:rPr>
        <w:rFonts w:hint="default"/>
      </w:rPr>
    </w:lvl>
    <w:lvl w:ilvl="5">
      <w:start w:val="1"/>
      <w:numFmt w:val="lowerLetter"/>
      <w:lvlText w:val="%6)"/>
      <w:lvlJc w:val="left"/>
      <w:pPr>
        <w:ind w:left="468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decimal"/>
      <w:lvlRestart w:val="0"/>
      <w:lvlText w:val="%9)"/>
      <w:lvlJc w:val="left"/>
      <w:pPr>
        <w:ind w:left="6840" w:hanging="360"/>
      </w:pPr>
      <w:rPr>
        <w:rFonts w:hint="default"/>
      </w:rPr>
    </w:lvl>
  </w:abstractNum>
  <w:abstractNum w:abstractNumId="7" w15:restartNumberingAfterBreak="0">
    <w:nsid w:val="4DC41812"/>
    <w:multiLevelType w:val="multilevel"/>
    <w:tmpl w:val="56542F28"/>
    <w:lvl w:ilvl="0">
      <w:start w:val="1"/>
      <w:numFmt w:val="decimal"/>
      <w:lvlText w:val="%1."/>
      <w:lvlJc w:val="left"/>
      <w:pPr>
        <w:ind w:left="1440" w:hanging="360"/>
      </w:pPr>
      <w:rPr>
        <w:rFonts w:hint="default"/>
      </w:rPr>
    </w:lvl>
    <w:lvl w:ilvl="1">
      <w:start w:val="1"/>
      <w:numFmt w:val="decimal"/>
      <w:lvlText w:val="%2."/>
      <w:lvlJc w:val="left"/>
      <w:pPr>
        <w:ind w:left="1800" w:hanging="360"/>
      </w:pPr>
    </w:lvl>
    <w:lvl w:ilvl="2">
      <w:start w:val="1"/>
      <w:numFmt w:val="decimal"/>
      <w:lvlText w:val="%3."/>
      <w:lvlJc w:val="left"/>
      <w:pPr>
        <w:ind w:left="2520" w:hanging="360"/>
      </w:pPr>
      <w:rPr>
        <w:rFonts w:hint="default"/>
      </w:rPr>
    </w:lvl>
    <w:lvl w:ilvl="3">
      <w:start w:val="1"/>
      <w:numFmt w:val="lowerLetter"/>
      <w:lvlText w:val="%4."/>
      <w:lvlJc w:val="left"/>
      <w:pPr>
        <w:ind w:left="3240" w:hanging="360"/>
      </w:pPr>
      <w:rPr>
        <w:rFonts w:hint="default"/>
      </w:rPr>
    </w:lvl>
    <w:lvl w:ilvl="4">
      <w:start w:val="1"/>
      <w:numFmt w:val="decimal"/>
      <w:lvlText w:val="%5)"/>
      <w:lvlJc w:val="left"/>
      <w:pPr>
        <w:ind w:left="3960" w:hanging="360"/>
      </w:pPr>
      <w:rPr>
        <w:rFonts w:hint="default"/>
      </w:rPr>
    </w:lvl>
    <w:lvl w:ilvl="5">
      <w:start w:val="1"/>
      <w:numFmt w:val="lowerLetter"/>
      <w:lvlText w:val="%6)"/>
      <w:lvlJc w:val="left"/>
      <w:pPr>
        <w:ind w:left="468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decimal"/>
      <w:lvlRestart w:val="0"/>
      <w:lvlText w:val="%9)"/>
      <w:lvlJc w:val="left"/>
      <w:pPr>
        <w:ind w:left="6840" w:hanging="360"/>
      </w:pPr>
      <w:rPr>
        <w:rFonts w:hint="default"/>
      </w:rPr>
    </w:lvl>
  </w:abstractNum>
  <w:abstractNum w:abstractNumId="8" w15:restartNumberingAfterBreak="0">
    <w:nsid w:val="57CF6605"/>
    <w:multiLevelType w:val="multilevel"/>
    <w:tmpl w:val="D2BE3E8A"/>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Letter"/>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decimal"/>
      <w:lvlRestart w:val="0"/>
      <w:lvlText w:val="%9)"/>
      <w:lvlJc w:val="left"/>
      <w:pPr>
        <w:ind w:left="6480" w:hanging="360"/>
      </w:pPr>
      <w:rPr>
        <w:rFonts w:hint="default"/>
      </w:rPr>
    </w:lvl>
  </w:abstractNum>
  <w:abstractNum w:abstractNumId="9" w15:restartNumberingAfterBreak="0">
    <w:nsid w:val="5A605D62"/>
    <w:multiLevelType w:val="multilevel"/>
    <w:tmpl w:val="3D02F346"/>
    <w:lvl w:ilvl="0">
      <w:start w:val="1"/>
      <w:numFmt w:val="decimal"/>
      <w:lvlText w:val="%1."/>
      <w:lvlJc w:val="left"/>
      <w:pPr>
        <w:ind w:left="1080" w:hanging="360"/>
      </w:pPr>
      <w:rPr>
        <w:rFonts w:hint="default"/>
      </w:rPr>
    </w:lvl>
    <w:lvl w:ilvl="1">
      <w:start w:val="1"/>
      <w:numFmt w:val="lowerLetter"/>
      <w:pStyle w:val="AA-6pt"/>
      <w:lvlText w:val="%2."/>
      <w:lvlJc w:val="left"/>
      <w:pPr>
        <w:ind w:left="1440" w:hanging="360"/>
      </w:pPr>
      <w:rPr>
        <w:rFonts w:hint="default"/>
      </w:rPr>
    </w:lvl>
    <w:lvl w:ilvl="2">
      <w:start w:val="1"/>
      <w:numFmt w:val="decimal"/>
      <w:pStyle w:val="AA-3pt"/>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Letter"/>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decimal"/>
      <w:lvlRestart w:val="0"/>
      <w:lvlText w:val="%9)"/>
      <w:lvlJc w:val="left"/>
      <w:pPr>
        <w:ind w:left="6480" w:hanging="360"/>
      </w:pPr>
      <w:rPr>
        <w:rFonts w:hint="default"/>
      </w:rPr>
    </w:lvl>
  </w:abstractNum>
  <w:abstractNum w:abstractNumId="10" w15:restartNumberingAfterBreak="0">
    <w:nsid w:val="5EB46D52"/>
    <w:multiLevelType w:val="multilevel"/>
    <w:tmpl w:val="2570B2AA"/>
    <w:lvl w:ilvl="0">
      <w:start w:val="1"/>
      <w:numFmt w:val="lowerLetter"/>
      <w:lvlText w:val="%1."/>
      <w:lvlJc w:val="left"/>
      <w:pPr>
        <w:ind w:left="1440" w:hanging="360"/>
      </w:pPr>
      <w:rPr>
        <w:rFonts w:hint="default"/>
      </w:rPr>
    </w:lvl>
    <w:lvl w:ilvl="1">
      <w:start w:val="1"/>
      <w:numFmt w:val="lowerLetter"/>
      <w:lvlText w:val="%2."/>
      <w:lvlJc w:val="left"/>
      <w:pPr>
        <w:ind w:left="1800" w:hanging="360"/>
      </w:pPr>
      <w:rPr>
        <w:rFonts w:hint="default"/>
      </w:rPr>
    </w:lvl>
    <w:lvl w:ilvl="2">
      <w:start w:val="1"/>
      <w:numFmt w:val="decimal"/>
      <w:lvlText w:val="%3."/>
      <w:lvlJc w:val="left"/>
      <w:pPr>
        <w:ind w:left="2520" w:hanging="360"/>
      </w:pPr>
      <w:rPr>
        <w:rFonts w:hint="default"/>
      </w:rPr>
    </w:lvl>
    <w:lvl w:ilvl="3">
      <w:start w:val="1"/>
      <w:numFmt w:val="lowerLetter"/>
      <w:lvlText w:val="%4."/>
      <w:lvlJc w:val="left"/>
      <w:pPr>
        <w:ind w:left="3240" w:hanging="360"/>
      </w:pPr>
      <w:rPr>
        <w:rFonts w:hint="default"/>
      </w:rPr>
    </w:lvl>
    <w:lvl w:ilvl="4">
      <w:start w:val="1"/>
      <w:numFmt w:val="decimal"/>
      <w:lvlText w:val="%5)"/>
      <w:lvlJc w:val="left"/>
      <w:pPr>
        <w:ind w:left="3960" w:hanging="360"/>
      </w:pPr>
      <w:rPr>
        <w:rFonts w:hint="default"/>
      </w:rPr>
    </w:lvl>
    <w:lvl w:ilvl="5">
      <w:start w:val="1"/>
      <w:numFmt w:val="lowerLetter"/>
      <w:lvlText w:val="%6)"/>
      <w:lvlJc w:val="left"/>
      <w:pPr>
        <w:ind w:left="468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decimal"/>
      <w:lvlRestart w:val="0"/>
      <w:lvlText w:val="%9)"/>
      <w:lvlJc w:val="left"/>
      <w:pPr>
        <w:ind w:left="6840" w:hanging="360"/>
      </w:pPr>
      <w:rPr>
        <w:rFonts w:hint="default"/>
      </w:rPr>
    </w:lvl>
  </w:abstractNum>
  <w:abstractNum w:abstractNumId="11" w15:restartNumberingAfterBreak="0">
    <w:nsid w:val="5FF03BDA"/>
    <w:multiLevelType w:val="hybridMultilevel"/>
    <w:tmpl w:val="C4A6D0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7712296"/>
    <w:multiLevelType w:val="multilevel"/>
    <w:tmpl w:val="5AEED41E"/>
    <w:lvl w:ilvl="0">
      <w:start w:val="1"/>
      <w:numFmt w:val="lowerLetter"/>
      <w:lvlText w:val="%1."/>
      <w:lvlJc w:val="left"/>
      <w:pPr>
        <w:ind w:left="1440" w:hanging="360"/>
      </w:pPr>
      <w:rPr>
        <w:rFonts w:hint="default"/>
      </w:rPr>
    </w:lvl>
    <w:lvl w:ilvl="1">
      <w:start w:val="1"/>
      <w:numFmt w:val="lowerLetter"/>
      <w:lvlText w:val="%2."/>
      <w:lvlJc w:val="left"/>
      <w:pPr>
        <w:ind w:left="1800" w:hanging="360"/>
      </w:pPr>
      <w:rPr>
        <w:rFonts w:hint="default"/>
      </w:rPr>
    </w:lvl>
    <w:lvl w:ilvl="2">
      <w:start w:val="1"/>
      <w:numFmt w:val="decimal"/>
      <w:lvlText w:val="%3."/>
      <w:lvlJc w:val="left"/>
      <w:pPr>
        <w:ind w:left="2520" w:hanging="360"/>
      </w:pPr>
      <w:rPr>
        <w:rFonts w:hint="default"/>
      </w:rPr>
    </w:lvl>
    <w:lvl w:ilvl="3">
      <w:start w:val="1"/>
      <w:numFmt w:val="lowerLetter"/>
      <w:lvlText w:val="%4."/>
      <w:lvlJc w:val="left"/>
      <w:pPr>
        <w:ind w:left="3240" w:hanging="360"/>
      </w:pPr>
      <w:rPr>
        <w:rFonts w:hint="default"/>
      </w:rPr>
    </w:lvl>
    <w:lvl w:ilvl="4">
      <w:start w:val="1"/>
      <w:numFmt w:val="decimal"/>
      <w:lvlText w:val="%5)"/>
      <w:lvlJc w:val="left"/>
      <w:pPr>
        <w:ind w:left="3960" w:hanging="360"/>
      </w:pPr>
      <w:rPr>
        <w:rFonts w:hint="default"/>
      </w:rPr>
    </w:lvl>
    <w:lvl w:ilvl="5">
      <w:start w:val="1"/>
      <w:numFmt w:val="lowerLetter"/>
      <w:lvlText w:val="%6)"/>
      <w:lvlJc w:val="left"/>
      <w:pPr>
        <w:ind w:left="468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decimal"/>
      <w:lvlRestart w:val="0"/>
      <w:lvlText w:val="%9)"/>
      <w:lvlJc w:val="left"/>
      <w:pPr>
        <w:ind w:left="6840" w:hanging="360"/>
      </w:pPr>
      <w:rPr>
        <w:rFonts w:hint="default"/>
      </w:rPr>
    </w:lvl>
  </w:abstractNum>
  <w:abstractNum w:abstractNumId="13" w15:restartNumberingAfterBreak="0">
    <w:nsid w:val="69A36D42"/>
    <w:multiLevelType w:val="hybridMultilevel"/>
    <w:tmpl w:val="6FC44FF8"/>
    <w:lvl w:ilvl="0" w:tplc="CCE2A14C">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E9A6647"/>
    <w:multiLevelType w:val="multilevel"/>
    <w:tmpl w:val="70DE6D2C"/>
    <w:lvl w:ilvl="0">
      <w:start w:val="1"/>
      <w:numFmt w:val="decimal"/>
      <w:pStyle w:val="ListParagraph"/>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Letter"/>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decimal"/>
      <w:lvlRestart w:val="0"/>
      <w:lvlText w:val="%9)"/>
      <w:lvlJc w:val="left"/>
      <w:pPr>
        <w:ind w:left="6480" w:hanging="360"/>
      </w:pPr>
      <w:rPr>
        <w:rFonts w:hint="default"/>
      </w:rPr>
    </w:lvl>
  </w:abstractNum>
  <w:abstractNum w:abstractNumId="15" w15:restartNumberingAfterBreak="0">
    <w:nsid w:val="75D959DE"/>
    <w:multiLevelType w:val="multilevel"/>
    <w:tmpl w:val="98B28F52"/>
    <w:lvl w:ilvl="0">
      <w:start w:val="1"/>
      <w:numFmt w:val="lowerLetter"/>
      <w:lvlText w:val="%1."/>
      <w:lvlJc w:val="left"/>
      <w:pPr>
        <w:ind w:left="1440" w:hanging="360"/>
      </w:pPr>
      <w:rPr>
        <w:rFonts w:hint="default"/>
      </w:rPr>
    </w:lvl>
    <w:lvl w:ilvl="1">
      <w:start w:val="1"/>
      <w:numFmt w:val="lowerLetter"/>
      <w:lvlText w:val="%2."/>
      <w:lvlJc w:val="left"/>
      <w:pPr>
        <w:ind w:left="1800" w:hanging="360"/>
      </w:pPr>
      <w:rPr>
        <w:rFonts w:hint="default"/>
      </w:rPr>
    </w:lvl>
    <w:lvl w:ilvl="2">
      <w:start w:val="1"/>
      <w:numFmt w:val="decimal"/>
      <w:lvlText w:val="%3."/>
      <w:lvlJc w:val="left"/>
      <w:pPr>
        <w:ind w:left="2520" w:hanging="360"/>
      </w:pPr>
      <w:rPr>
        <w:rFonts w:hint="default"/>
      </w:rPr>
    </w:lvl>
    <w:lvl w:ilvl="3">
      <w:start w:val="1"/>
      <w:numFmt w:val="lowerLetter"/>
      <w:lvlText w:val="%4."/>
      <w:lvlJc w:val="left"/>
      <w:pPr>
        <w:ind w:left="3240" w:hanging="360"/>
      </w:pPr>
      <w:rPr>
        <w:rFonts w:hint="default"/>
      </w:rPr>
    </w:lvl>
    <w:lvl w:ilvl="4">
      <w:start w:val="1"/>
      <w:numFmt w:val="decimal"/>
      <w:lvlText w:val="%5)"/>
      <w:lvlJc w:val="left"/>
      <w:pPr>
        <w:ind w:left="3960" w:hanging="360"/>
      </w:pPr>
      <w:rPr>
        <w:rFonts w:hint="default"/>
      </w:rPr>
    </w:lvl>
    <w:lvl w:ilvl="5">
      <w:start w:val="1"/>
      <w:numFmt w:val="lowerLetter"/>
      <w:lvlText w:val="%6)"/>
      <w:lvlJc w:val="left"/>
      <w:pPr>
        <w:ind w:left="468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decimal"/>
      <w:lvlRestart w:val="0"/>
      <w:lvlText w:val="%9)"/>
      <w:lvlJc w:val="left"/>
      <w:pPr>
        <w:ind w:left="6840" w:hanging="360"/>
      </w:pPr>
      <w:rPr>
        <w:rFonts w:hint="default"/>
      </w:rPr>
    </w:lvl>
  </w:abstractNum>
  <w:num w:numId="1" w16cid:durableId="963851184">
    <w:abstractNumId w:val="14"/>
  </w:num>
  <w:num w:numId="2" w16cid:durableId="1322585689">
    <w:abstractNumId w:val="9"/>
  </w:num>
  <w:num w:numId="3" w16cid:durableId="2073036350">
    <w:abstractNumId w:val="1"/>
  </w:num>
  <w:num w:numId="4" w16cid:durableId="731345026">
    <w:abstractNumId w:val="8"/>
  </w:num>
  <w:num w:numId="5" w16cid:durableId="16454294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09776070">
    <w:abstractNumId w:val="10"/>
  </w:num>
  <w:num w:numId="7" w16cid:durableId="1317222368">
    <w:abstractNumId w:val="4"/>
  </w:num>
  <w:num w:numId="8" w16cid:durableId="247735829">
    <w:abstractNumId w:val="7"/>
  </w:num>
  <w:num w:numId="9" w16cid:durableId="662003580">
    <w:abstractNumId w:val="11"/>
  </w:num>
  <w:num w:numId="10" w16cid:durableId="5708205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40487878">
    <w:abstractNumId w:val="6"/>
  </w:num>
  <w:num w:numId="12" w16cid:durableId="1807776645">
    <w:abstractNumId w:val="5"/>
  </w:num>
  <w:num w:numId="13" w16cid:durableId="974603667">
    <w:abstractNumId w:val="2"/>
  </w:num>
  <w:num w:numId="14" w16cid:durableId="1615937114">
    <w:abstractNumId w:val="15"/>
  </w:num>
  <w:num w:numId="15" w16cid:durableId="188104752">
    <w:abstractNumId w:val="12"/>
  </w:num>
  <w:num w:numId="16" w16cid:durableId="88936385">
    <w:abstractNumId w:val="0"/>
  </w:num>
  <w:num w:numId="17" w16cid:durableId="1570461073">
    <w:abstractNumId w:val="13"/>
  </w:num>
  <w:num w:numId="18" w16cid:durableId="574900048">
    <w:abstractNumId w:val="3"/>
  </w:num>
  <w:num w:numId="19" w16cid:durableId="17295262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619042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285087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AD8"/>
    <w:rsid w:val="00012274"/>
    <w:rsid w:val="00014751"/>
    <w:rsid w:val="00033AB1"/>
    <w:rsid w:val="00033F03"/>
    <w:rsid w:val="00054E72"/>
    <w:rsid w:val="00060218"/>
    <w:rsid w:val="00072984"/>
    <w:rsid w:val="000B14CC"/>
    <w:rsid w:val="000B36A3"/>
    <w:rsid w:val="000B3EF9"/>
    <w:rsid w:val="000D123E"/>
    <w:rsid w:val="000F1349"/>
    <w:rsid w:val="000F1F8B"/>
    <w:rsid w:val="001261B8"/>
    <w:rsid w:val="00140FEF"/>
    <w:rsid w:val="00161D5D"/>
    <w:rsid w:val="001830E9"/>
    <w:rsid w:val="00186107"/>
    <w:rsid w:val="00190AA1"/>
    <w:rsid w:val="00196D8E"/>
    <w:rsid w:val="001B7971"/>
    <w:rsid w:val="001C46AA"/>
    <w:rsid w:val="001C5A29"/>
    <w:rsid w:val="002250B1"/>
    <w:rsid w:val="0025430D"/>
    <w:rsid w:val="00276C21"/>
    <w:rsid w:val="00282B6D"/>
    <w:rsid w:val="002B717F"/>
    <w:rsid w:val="002C28B5"/>
    <w:rsid w:val="002F302D"/>
    <w:rsid w:val="00310FC0"/>
    <w:rsid w:val="003150BD"/>
    <w:rsid w:val="00322636"/>
    <w:rsid w:val="003374AF"/>
    <w:rsid w:val="00343065"/>
    <w:rsid w:val="0038197C"/>
    <w:rsid w:val="00386435"/>
    <w:rsid w:val="003A16EE"/>
    <w:rsid w:val="003C4D91"/>
    <w:rsid w:val="003D3CC1"/>
    <w:rsid w:val="003F096F"/>
    <w:rsid w:val="003F1566"/>
    <w:rsid w:val="004067CC"/>
    <w:rsid w:val="00413B87"/>
    <w:rsid w:val="004178C0"/>
    <w:rsid w:val="0042798D"/>
    <w:rsid w:val="00427ED5"/>
    <w:rsid w:val="00440D9A"/>
    <w:rsid w:val="00444057"/>
    <w:rsid w:val="00463814"/>
    <w:rsid w:val="0046596C"/>
    <w:rsid w:val="00474560"/>
    <w:rsid w:val="00485D6D"/>
    <w:rsid w:val="00490ED5"/>
    <w:rsid w:val="00491B29"/>
    <w:rsid w:val="004C350D"/>
    <w:rsid w:val="004C49B9"/>
    <w:rsid w:val="004C6A89"/>
    <w:rsid w:val="004C78A6"/>
    <w:rsid w:val="004F1254"/>
    <w:rsid w:val="004F43CA"/>
    <w:rsid w:val="005148DA"/>
    <w:rsid w:val="0052068D"/>
    <w:rsid w:val="0056697A"/>
    <w:rsid w:val="00573802"/>
    <w:rsid w:val="00576BAF"/>
    <w:rsid w:val="00581176"/>
    <w:rsid w:val="005918B5"/>
    <w:rsid w:val="0059727F"/>
    <w:rsid w:val="005C216C"/>
    <w:rsid w:val="005D0F15"/>
    <w:rsid w:val="005D2C94"/>
    <w:rsid w:val="005E06DA"/>
    <w:rsid w:val="005F1568"/>
    <w:rsid w:val="005F19A8"/>
    <w:rsid w:val="0060026A"/>
    <w:rsid w:val="006068AE"/>
    <w:rsid w:val="00612FD1"/>
    <w:rsid w:val="00617E56"/>
    <w:rsid w:val="00633AAE"/>
    <w:rsid w:val="00634234"/>
    <w:rsid w:val="00653521"/>
    <w:rsid w:val="00655F71"/>
    <w:rsid w:val="00664BF8"/>
    <w:rsid w:val="00670FFD"/>
    <w:rsid w:val="0067713F"/>
    <w:rsid w:val="006979AB"/>
    <w:rsid w:val="006C144B"/>
    <w:rsid w:val="006E5E60"/>
    <w:rsid w:val="00727204"/>
    <w:rsid w:val="007548DD"/>
    <w:rsid w:val="007650DA"/>
    <w:rsid w:val="007C2D57"/>
    <w:rsid w:val="007F07ED"/>
    <w:rsid w:val="007F4D4F"/>
    <w:rsid w:val="00804AD8"/>
    <w:rsid w:val="008073C0"/>
    <w:rsid w:val="00820F74"/>
    <w:rsid w:val="008215AF"/>
    <w:rsid w:val="00826E01"/>
    <w:rsid w:val="008500AE"/>
    <w:rsid w:val="00850435"/>
    <w:rsid w:val="00856A06"/>
    <w:rsid w:val="00883A41"/>
    <w:rsid w:val="00886B14"/>
    <w:rsid w:val="008E6E64"/>
    <w:rsid w:val="00901885"/>
    <w:rsid w:val="00945807"/>
    <w:rsid w:val="0095108B"/>
    <w:rsid w:val="00953972"/>
    <w:rsid w:val="009542BE"/>
    <w:rsid w:val="00962F97"/>
    <w:rsid w:val="0097591D"/>
    <w:rsid w:val="00976A70"/>
    <w:rsid w:val="00990C31"/>
    <w:rsid w:val="00991BD2"/>
    <w:rsid w:val="009F38EE"/>
    <w:rsid w:val="009F419C"/>
    <w:rsid w:val="00A02735"/>
    <w:rsid w:val="00A07535"/>
    <w:rsid w:val="00A12073"/>
    <w:rsid w:val="00A22655"/>
    <w:rsid w:val="00A23DA0"/>
    <w:rsid w:val="00A344DB"/>
    <w:rsid w:val="00A35C73"/>
    <w:rsid w:val="00A72940"/>
    <w:rsid w:val="00AC42C4"/>
    <w:rsid w:val="00AD15A6"/>
    <w:rsid w:val="00B10F66"/>
    <w:rsid w:val="00B12371"/>
    <w:rsid w:val="00B1642A"/>
    <w:rsid w:val="00B3588A"/>
    <w:rsid w:val="00B629AA"/>
    <w:rsid w:val="00B67945"/>
    <w:rsid w:val="00B74F5D"/>
    <w:rsid w:val="00B767FD"/>
    <w:rsid w:val="00B849E1"/>
    <w:rsid w:val="00B93942"/>
    <w:rsid w:val="00BA21B7"/>
    <w:rsid w:val="00BC7631"/>
    <w:rsid w:val="00BD4EF7"/>
    <w:rsid w:val="00BE1A4E"/>
    <w:rsid w:val="00BE3F84"/>
    <w:rsid w:val="00C11965"/>
    <w:rsid w:val="00C367CD"/>
    <w:rsid w:val="00C6375D"/>
    <w:rsid w:val="00C71F91"/>
    <w:rsid w:val="00C93F84"/>
    <w:rsid w:val="00CF2235"/>
    <w:rsid w:val="00CF6653"/>
    <w:rsid w:val="00D21915"/>
    <w:rsid w:val="00D25358"/>
    <w:rsid w:val="00D34DF7"/>
    <w:rsid w:val="00D644BF"/>
    <w:rsid w:val="00DB51A7"/>
    <w:rsid w:val="00DB5BF8"/>
    <w:rsid w:val="00DD385B"/>
    <w:rsid w:val="00E26373"/>
    <w:rsid w:val="00E64C49"/>
    <w:rsid w:val="00E650B2"/>
    <w:rsid w:val="00E72D3C"/>
    <w:rsid w:val="00E80BFA"/>
    <w:rsid w:val="00E81EC8"/>
    <w:rsid w:val="00E85609"/>
    <w:rsid w:val="00E868CE"/>
    <w:rsid w:val="00EB076F"/>
    <w:rsid w:val="00EB69DF"/>
    <w:rsid w:val="00EC0615"/>
    <w:rsid w:val="00EF1308"/>
    <w:rsid w:val="00F0261F"/>
    <w:rsid w:val="00F13DE7"/>
    <w:rsid w:val="00F150A7"/>
    <w:rsid w:val="00F15710"/>
    <w:rsid w:val="00F52219"/>
    <w:rsid w:val="00F640D5"/>
    <w:rsid w:val="00F95416"/>
    <w:rsid w:val="00FA4064"/>
    <w:rsid w:val="00FC6A23"/>
    <w:rsid w:val="00FD319D"/>
    <w:rsid w:val="00FD48B7"/>
    <w:rsid w:val="00FF1C61"/>
    <w:rsid w:val="00FF315F"/>
    <w:rsid w:val="00FF7212"/>
    <w:rsid w:val="03317BBD"/>
    <w:rsid w:val="071A6C82"/>
    <w:rsid w:val="0AAA7FC9"/>
    <w:rsid w:val="136FCC1D"/>
    <w:rsid w:val="28BB6D70"/>
    <w:rsid w:val="2E76CF51"/>
    <w:rsid w:val="300FDD1A"/>
    <w:rsid w:val="4300CCD5"/>
    <w:rsid w:val="44BAE608"/>
    <w:rsid w:val="4ED4B46D"/>
    <w:rsid w:val="5083A612"/>
    <w:rsid w:val="5B3B71E8"/>
    <w:rsid w:val="5CFC3ADE"/>
    <w:rsid w:val="5D229BE6"/>
    <w:rsid w:val="6088C055"/>
    <w:rsid w:val="64BA874D"/>
    <w:rsid w:val="6B667B28"/>
    <w:rsid w:val="6BCF7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C7C19"/>
  <w15:chartTrackingRefBased/>
  <w15:docId w15:val="{63414A86-8EA4-4EC6-A025-B125ABFE0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60"/>
        <w:ind w:left="2160" w:hanging="360"/>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26A"/>
    <w:pPr>
      <w:spacing w:before="0"/>
      <w:ind w:left="0" w:firstLine="0"/>
    </w:pPr>
    <w:rPr>
      <w:rFonts w:ascii="Times New Roman" w:hAnsi="Times New Roman"/>
      <w:sz w:val="24"/>
    </w:rPr>
  </w:style>
  <w:style w:type="paragraph" w:styleId="Heading1">
    <w:name w:val="heading 1"/>
    <w:basedOn w:val="Normal"/>
    <w:next w:val="AAOpener"/>
    <w:link w:val="Heading1Char"/>
    <w:uiPriority w:val="9"/>
    <w:rsid w:val="004C49B9"/>
    <w:pPr>
      <w:keepNext/>
      <w:spacing w:before="240"/>
      <w:outlineLvl w:val="0"/>
    </w:pPr>
    <w:rPr>
      <w:rFonts w:eastAsiaTheme="majorEastAsia" w:cs="Times New Roman"/>
      <w:b/>
      <w:bCs/>
      <w:szCs w:val="24"/>
    </w:rPr>
  </w:style>
  <w:style w:type="paragraph" w:styleId="Heading2">
    <w:name w:val="heading 2"/>
    <w:basedOn w:val="Normal"/>
    <w:next w:val="Normal"/>
    <w:link w:val="Heading2Char"/>
    <w:uiPriority w:val="9"/>
    <w:unhideWhenUsed/>
    <w:rsid w:val="00E81EC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4AD8"/>
    <w:pPr>
      <w:tabs>
        <w:tab w:val="center" w:pos="4680"/>
        <w:tab w:val="right" w:pos="9360"/>
      </w:tabs>
    </w:pPr>
  </w:style>
  <w:style w:type="character" w:customStyle="1" w:styleId="HeaderChar">
    <w:name w:val="Header Char"/>
    <w:basedOn w:val="DefaultParagraphFont"/>
    <w:link w:val="Header"/>
    <w:uiPriority w:val="99"/>
    <w:rsid w:val="00804AD8"/>
    <w:rPr>
      <w:rFonts w:ascii="Times New Roman" w:hAnsi="Times New Roman"/>
      <w:sz w:val="24"/>
    </w:rPr>
  </w:style>
  <w:style w:type="paragraph" w:styleId="Footer">
    <w:name w:val="footer"/>
    <w:basedOn w:val="Normal"/>
    <w:link w:val="FooterChar"/>
    <w:uiPriority w:val="99"/>
    <w:unhideWhenUsed/>
    <w:rsid w:val="00A72940"/>
    <w:pPr>
      <w:tabs>
        <w:tab w:val="right" w:pos="10800"/>
      </w:tabs>
    </w:pPr>
    <w:rPr>
      <w:b/>
      <w:bCs/>
    </w:rPr>
  </w:style>
  <w:style w:type="character" w:customStyle="1" w:styleId="FooterChar">
    <w:name w:val="Footer Char"/>
    <w:basedOn w:val="DefaultParagraphFont"/>
    <w:link w:val="Footer"/>
    <w:uiPriority w:val="99"/>
    <w:rsid w:val="00A72940"/>
    <w:rPr>
      <w:rFonts w:ascii="Times New Roman" w:hAnsi="Times New Roman"/>
      <w:b/>
      <w:bCs/>
      <w:sz w:val="24"/>
    </w:rPr>
  </w:style>
  <w:style w:type="character" w:customStyle="1" w:styleId="Heading1Char">
    <w:name w:val="Heading 1 Char"/>
    <w:basedOn w:val="DefaultParagraphFont"/>
    <w:link w:val="Heading1"/>
    <w:uiPriority w:val="9"/>
    <w:rsid w:val="004C49B9"/>
    <w:rPr>
      <w:rFonts w:ascii="Times New Roman" w:eastAsiaTheme="majorEastAsia" w:hAnsi="Times New Roman" w:cs="Times New Roman"/>
      <w:b/>
      <w:bCs/>
      <w:sz w:val="24"/>
      <w:szCs w:val="24"/>
    </w:rPr>
  </w:style>
  <w:style w:type="paragraph" w:customStyle="1" w:styleId="AA-Normal12pt">
    <w:name w:val="AA-Normal 12pt"/>
    <w:link w:val="AA-Normal12ptChar"/>
    <w:qFormat/>
    <w:rsid w:val="00850435"/>
    <w:pPr>
      <w:spacing w:before="240"/>
      <w:ind w:left="720" w:firstLine="0"/>
    </w:pPr>
    <w:rPr>
      <w:rFonts w:ascii="Times New Roman" w:hAnsi="Times New Roman"/>
      <w:sz w:val="24"/>
    </w:rPr>
  </w:style>
  <w:style w:type="paragraph" w:customStyle="1" w:styleId="AAOpener">
    <w:name w:val="AA ¶ Opener"/>
    <w:basedOn w:val="AA-Normal12pt"/>
    <w:next w:val="AA-Normal12pt"/>
    <w:link w:val="AAOpenerChar"/>
    <w:qFormat/>
    <w:rsid w:val="00850435"/>
    <w:pPr>
      <w:spacing w:before="0"/>
    </w:pPr>
  </w:style>
  <w:style w:type="character" w:customStyle="1" w:styleId="AA-Normal12ptChar">
    <w:name w:val="AA-Normal 12pt Char"/>
    <w:basedOn w:val="DefaultParagraphFont"/>
    <w:link w:val="AA-Normal12pt"/>
    <w:rsid w:val="00850435"/>
    <w:rPr>
      <w:rFonts w:ascii="Times New Roman" w:hAnsi="Times New Roman"/>
      <w:sz w:val="24"/>
    </w:rPr>
  </w:style>
  <w:style w:type="character" w:customStyle="1" w:styleId="AAOpenerChar">
    <w:name w:val="AA ¶ Opener Char"/>
    <w:basedOn w:val="AA-Normal12ptChar"/>
    <w:link w:val="AAOpener"/>
    <w:rsid w:val="00850435"/>
    <w:rPr>
      <w:rFonts w:ascii="Times New Roman" w:hAnsi="Times New Roman"/>
      <w:sz w:val="24"/>
    </w:rPr>
  </w:style>
  <w:style w:type="paragraph" w:customStyle="1" w:styleId="AABoxTitle">
    <w:name w:val="AA BoxTitle"/>
    <w:basedOn w:val="Normal"/>
    <w:link w:val="AABoxTitleChar"/>
    <w:qFormat/>
    <w:rsid w:val="00B12371"/>
    <w:pPr>
      <w:tabs>
        <w:tab w:val="right" w:pos="4817"/>
      </w:tabs>
    </w:pPr>
    <w:rPr>
      <w:b/>
      <w:bCs/>
      <w:sz w:val="22"/>
    </w:rPr>
  </w:style>
  <w:style w:type="paragraph" w:customStyle="1" w:styleId="AABoxEtc">
    <w:name w:val="AA BoxEtc"/>
    <w:basedOn w:val="Normal"/>
    <w:link w:val="AABoxEtcChar"/>
    <w:qFormat/>
    <w:rsid w:val="00B12371"/>
    <w:rPr>
      <w:sz w:val="18"/>
      <w:szCs w:val="18"/>
    </w:rPr>
  </w:style>
  <w:style w:type="character" w:customStyle="1" w:styleId="AABoxTitleChar">
    <w:name w:val="AA BoxTitle Char"/>
    <w:basedOn w:val="DefaultParagraphFont"/>
    <w:link w:val="AABoxTitle"/>
    <w:rsid w:val="00B12371"/>
    <w:rPr>
      <w:rFonts w:ascii="Times New Roman" w:hAnsi="Times New Roman"/>
      <w:b/>
      <w:bCs/>
    </w:rPr>
  </w:style>
  <w:style w:type="paragraph" w:styleId="ListParagraph">
    <w:name w:val="List Paragraph"/>
    <w:basedOn w:val="Normal"/>
    <w:uiPriority w:val="34"/>
    <w:qFormat/>
    <w:rsid w:val="00C11965"/>
    <w:pPr>
      <w:numPr>
        <w:numId w:val="1"/>
      </w:numPr>
      <w:contextualSpacing/>
    </w:pPr>
  </w:style>
  <w:style w:type="character" w:customStyle="1" w:styleId="AABoxEtcChar">
    <w:name w:val="AA BoxEtc Char"/>
    <w:basedOn w:val="DefaultParagraphFont"/>
    <w:link w:val="AABoxEtc"/>
    <w:rsid w:val="00B12371"/>
    <w:rPr>
      <w:rFonts w:ascii="Times New Roman" w:hAnsi="Times New Roman"/>
      <w:sz w:val="18"/>
      <w:szCs w:val="18"/>
    </w:rPr>
  </w:style>
  <w:style w:type="paragraph" w:customStyle="1" w:styleId="AABoxText">
    <w:name w:val="AA BoxText"/>
    <w:basedOn w:val="Normal"/>
    <w:link w:val="AABoxTextChar"/>
    <w:qFormat/>
    <w:rsid w:val="00E72D3C"/>
  </w:style>
  <w:style w:type="paragraph" w:customStyle="1" w:styleId="AA-Normal6pt">
    <w:name w:val="AA-Normal 6pt"/>
    <w:basedOn w:val="AA-Normal12pt"/>
    <w:link w:val="AA-Normal6ptChar"/>
    <w:qFormat/>
    <w:rsid w:val="000F1F8B"/>
    <w:pPr>
      <w:spacing w:before="120"/>
    </w:pPr>
  </w:style>
  <w:style w:type="character" w:customStyle="1" w:styleId="AABoxTextChar">
    <w:name w:val="AA BoxText Char"/>
    <w:basedOn w:val="DefaultParagraphFont"/>
    <w:link w:val="AABoxText"/>
    <w:rsid w:val="00E72D3C"/>
    <w:rPr>
      <w:rFonts w:ascii="Times New Roman" w:hAnsi="Times New Roman"/>
      <w:sz w:val="24"/>
    </w:rPr>
  </w:style>
  <w:style w:type="paragraph" w:customStyle="1" w:styleId="AA-Normal3pt">
    <w:name w:val="AA-Normal 3pt"/>
    <w:basedOn w:val="AA-Normal12pt"/>
    <w:link w:val="AA-Normal3ptChar"/>
    <w:qFormat/>
    <w:rsid w:val="000F1F8B"/>
    <w:pPr>
      <w:spacing w:before="60"/>
    </w:pPr>
  </w:style>
  <w:style w:type="character" w:customStyle="1" w:styleId="AA-Normal6ptChar">
    <w:name w:val="AA-Normal 6pt Char"/>
    <w:basedOn w:val="AA-Normal12ptChar"/>
    <w:link w:val="AA-Normal6pt"/>
    <w:rsid w:val="000F1F8B"/>
    <w:rPr>
      <w:rFonts w:ascii="Times New Roman" w:hAnsi="Times New Roman"/>
      <w:sz w:val="24"/>
    </w:rPr>
  </w:style>
  <w:style w:type="paragraph" w:customStyle="1" w:styleId="AA-12pt">
    <w:name w:val="AA-¶ 12pt"/>
    <w:basedOn w:val="AA-Normal12pt"/>
    <w:link w:val="AA-12ptChar"/>
    <w:qFormat/>
    <w:rsid w:val="00427ED5"/>
    <w:pPr>
      <w:ind w:left="0"/>
    </w:pPr>
  </w:style>
  <w:style w:type="character" w:customStyle="1" w:styleId="AA-Normal3ptChar">
    <w:name w:val="AA-Normal 3pt Char"/>
    <w:basedOn w:val="AA-Normal12ptChar"/>
    <w:link w:val="AA-Normal3pt"/>
    <w:rsid w:val="000F1F8B"/>
    <w:rPr>
      <w:rFonts w:ascii="Times New Roman" w:hAnsi="Times New Roman"/>
      <w:sz w:val="24"/>
    </w:rPr>
  </w:style>
  <w:style w:type="paragraph" w:customStyle="1" w:styleId="AA-6pt">
    <w:name w:val="AA-¶ 6pt"/>
    <w:basedOn w:val="AA-Normal12pt"/>
    <w:link w:val="AA-6ptChar"/>
    <w:qFormat/>
    <w:rsid w:val="00427ED5"/>
    <w:pPr>
      <w:numPr>
        <w:ilvl w:val="1"/>
        <w:numId w:val="2"/>
      </w:numPr>
      <w:spacing w:before="120"/>
    </w:pPr>
  </w:style>
  <w:style w:type="character" w:customStyle="1" w:styleId="AA-12ptChar">
    <w:name w:val="AA-¶ 12pt Char"/>
    <w:basedOn w:val="AA-Normal12ptChar"/>
    <w:link w:val="AA-12pt"/>
    <w:rsid w:val="00427ED5"/>
    <w:rPr>
      <w:rFonts w:ascii="Times New Roman" w:hAnsi="Times New Roman"/>
      <w:sz w:val="24"/>
    </w:rPr>
  </w:style>
  <w:style w:type="paragraph" w:customStyle="1" w:styleId="AA-3pt">
    <w:name w:val="AA-¶ 3pt"/>
    <w:basedOn w:val="AA-Normal12pt"/>
    <w:link w:val="AA-3ptChar"/>
    <w:qFormat/>
    <w:rsid w:val="00427ED5"/>
    <w:pPr>
      <w:numPr>
        <w:ilvl w:val="2"/>
        <w:numId w:val="2"/>
      </w:numPr>
      <w:spacing w:before="60"/>
    </w:pPr>
  </w:style>
  <w:style w:type="character" w:customStyle="1" w:styleId="AA-6ptChar">
    <w:name w:val="AA-¶ 6pt Char"/>
    <w:basedOn w:val="AA-Normal12ptChar"/>
    <w:link w:val="AA-6pt"/>
    <w:rsid w:val="00427ED5"/>
    <w:rPr>
      <w:rFonts w:ascii="Times New Roman" w:hAnsi="Times New Roman"/>
      <w:sz w:val="24"/>
    </w:rPr>
  </w:style>
  <w:style w:type="character" w:customStyle="1" w:styleId="Heading2Char">
    <w:name w:val="Heading 2 Char"/>
    <w:basedOn w:val="DefaultParagraphFont"/>
    <w:link w:val="Heading2"/>
    <w:uiPriority w:val="9"/>
    <w:rsid w:val="00E81EC8"/>
    <w:rPr>
      <w:rFonts w:asciiTheme="majorHAnsi" w:eastAsiaTheme="majorEastAsia" w:hAnsiTheme="majorHAnsi" w:cstheme="majorBidi"/>
      <w:color w:val="2F5496" w:themeColor="accent1" w:themeShade="BF"/>
      <w:sz w:val="26"/>
      <w:szCs w:val="26"/>
    </w:rPr>
  </w:style>
  <w:style w:type="character" w:customStyle="1" w:styleId="AA-3ptChar">
    <w:name w:val="AA-¶ 3pt Char"/>
    <w:basedOn w:val="AA-Normal12ptChar"/>
    <w:link w:val="AA-3pt"/>
    <w:rsid w:val="00427ED5"/>
    <w:rPr>
      <w:rFonts w:ascii="Times New Roman" w:hAnsi="Times New Roman"/>
      <w:sz w:val="24"/>
    </w:rPr>
  </w:style>
  <w:style w:type="numbering" w:customStyle="1" w:styleId="AANbrs">
    <w:name w:val="AA Nbr ¶s"/>
    <w:uiPriority w:val="99"/>
    <w:rsid w:val="00FD319D"/>
    <w:pPr>
      <w:numPr>
        <w:numId w:val="3"/>
      </w:numPr>
    </w:pPr>
  </w:style>
  <w:style w:type="character" w:styleId="Hyperlink">
    <w:name w:val="Hyperlink"/>
    <w:basedOn w:val="DefaultParagraphFont"/>
    <w:uiPriority w:val="99"/>
    <w:unhideWhenUsed/>
    <w:rsid w:val="0060026A"/>
    <w:rPr>
      <w:color w:val="002060"/>
      <w:u w:val="none"/>
    </w:rPr>
  </w:style>
  <w:style w:type="character" w:styleId="UnresolvedMention">
    <w:name w:val="Unresolved Mention"/>
    <w:basedOn w:val="DefaultParagraphFont"/>
    <w:uiPriority w:val="99"/>
    <w:semiHidden/>
    <w:unhideWhenUsed/>
    <w:rsid w:val="00BE3F84"/>
    <w:rPr>
      <w:color w:val="605E5C"/>
      <w:shd w:val="clear" w:color="auto" w:fill="E1DFDD"/>
    </w:rPr>
  </w:style>
  <w:style w:type="character" w:styleId="FollowedHyperlink">
    <w:name w:val="FollowedHyperlink"/>
    <w:basedOn w:val="DefaultParagraphFont"/>
    <w:uiPriority w:val="99"/>
    <w:semiHidden/>
    <w:unhideWhenUsed/>
    <w:rsid w:val="0060026A"/>
    <w:rPr>
      <w:color w:val="3333CC"/>
      <w:u w:val="none"/>
    </w:rPr>
  </w:style>
  <w:style w:type="paragraph" w:styleId="Quote">
    <w:name w:val="Quote"/>
    <w:basedOn w:val="Normal"/>
    <w:next w:val="Normal"/>
    <w:link w:val="QuoteChar"/>
    <w:uiPriority w:val="29"/>
    <w:rsid w:val="00BE3F8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E3F84"/>
    <w:rPr>
      <w:rFonts w:ascii="Times New Roman" w:hAnsi="Times New Roman"/>
      <w:i/>
      <w:iCs/>
      <w:color w:val="404040" w:themeColor="text1" w:themeTint="BF"/>
      <w:sz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8073C0"/>
    <w:rPr>
      <w:sz w:val="16"/>
      <w:szCs w:val="16"/>
    </w:rPr>
  </w:style>
  <w:style w:type="paragraph" w:styleId="CommentText">
    <w:name w:val="annotation text"/>
    <w:basedOn w:val="Normal"/>
    <w:link w:val="CommentTextChar"/>
    <w:uiPriority w:val="99"/>
    <w:unhideWhenUsed/>
    <w:rsid w:val="008073C0"/>
    <w:rPr>
      <w:sz w:val="20"/>
      <w:szCs w:val="20"/>
    </w:rPr>
  </w:style>
  <w:style w:type="character" w:customStyle="1" w:styleId="CommentTextChar">
    <w:name w:val="Comment Text Char"/>
    <w:basedOn w:val="DefaultParagraphFont"/>
    <w:link w:val="CommentText"/>
    <w:uiPriority w:val="99"/>
    <w:rsid w:val="008073C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073C0"/>
    <w:rPr>
      <w:b/>
      <w:bCs/>
    </w:rPr>
  </w:style>
  <w:style w:type="character" w:customStyle="1" w:styleId="CommentSubjectChar">
    <w:name w:val="Comment Subject Char"/>
    <w:basedOn w:val="CommentTextChar"/>
    <w:link w:val="CommentSubject"/>
    <w:uiPriority w:val="99"/>
    <w:semiHidden/>
    <w:rsid w:val="008073C0"/>
    <w:rPr>
      <w:rFonts w:ascii="Times New Roman" w:hAnsi="Times New Roman"/>
      <w:b/>
      <w:bCs/>
      <w:sz w:val="20"/>
      <w:szCs w:val="20"/>
    </w:rPr>
  </w:style>
  <w:style w:type="paragraph" w:styleId="Revision">
    <w:name w:val="Revision"/>
    <w:hidden/>
    <w:uiPriority w:val="99"/>
    <w:semiHidden/>
    <w:rsid w:val="00196D8E"/>
    <w:pPr>
      <w:spacing w:before="0"/>
      <w:ind w:left="0" w:firstLine="0"/>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029623">
      <w:bodyDiv w:val="1"/>
      <w:marLeft w:val="0"/>
      <w:marRight w:val="0"/>
      <w:marTop w:val="0"/>
      <w:marBottom w:val="0"/>
      <w:divBdr>
        <w:top w:val="none" w:sz="0" w:space="0" w:color="auto"/>
        <w:left w:val="none" w:sz="0" w:space="0" w:color="auto"/>
        <w:bottom w:val="none" w:sz="0" w:space="0" w:color="auto"/>
        <w:right w:val="none" w:sz="0" w:space="0" w:color="auto"/>
      </w:divBdr>
    </w:div>
    <w:div w:id="958099196">
      <w:bodyDiv w:val="1"/>
      <w:marLeft w:val="0"/>
      <w:marRight w:val="0"/>
      <w:marTop w:val="0"/>
      <w:marBottom w:val="0"/>
      <w:divBdr>
        <w:top w:val="none" w:sz="0" w:space="0" w:color="auto"/>
        <w:left w:val="none" w:sz="0" w:space="0" w:color="auto"/>
        <w:bottom w:val="none" w:sz="0" w:space="0" w:color="auto"/>
        <w:right w:val="none" w:sz="0" w:space="0" w:color="auto"/>
      </w:divBdr>
    </w:div>
    <w:div w:id="1279138982">
      <w:bodyDiv w:val="1"/>
      <w:marLeft w:val="0"/>
      <w:marRight w:val="0"/>
      <w:marTop w:val="0"/>
      <w:marBottom w:val="0"/>
      <w:divBdr>
        <w:top w:val="none" w:sz="0" w:space="0" w:color="auto"/>
        <w:left w:val="none" w:sz="0" w:space="0" w:color="auto"/>
        <w:bottom w:val="none" w:sz="0" w:space="0" w:color="auto"/>
        <w:right w:val="none" w:sz="0" w:space="0" w:color="auto"/>
      </w:divBdr>
    </w:div>
    <w:div w:id="1561942671">
      <w:bodyDiv w:val="1"/>
      <w:marLeft w:val="0"/>
      <w:marRight w:val="0"/>
      <w:marTop w:val="0"/>
      <w:marBottom w:val="0"/>
      <w:divBdr>
        <w:top w:val="none" w:sz="0" w:space="0" w:color="auto"/>
        <w:left w:val="none" w:sz="0" w:space="0" w:color="auto"/>
        <w:bottom w:val="none" w:sz="0" w:space="0" w:color="auto"/>
        <w:right w:val="none" w:sz="0" w:space="0" w:color="auto"/>
      </w:divBdr>
    </w:div>
    <w:div w:id="1581135074">
      <w:bodyDiv w:val="1"/>
      <w:marLeft w:val="0"/>
      <w:marRight w:val="0"/>
      <w:marTop w:val="0"/>
      <w:marBottom w:val="0"/>
      <w:divBdr>
        <w:top w:val="none" w:sz="0" w:space="0" w:color="auto"/>
        <w:left w:val="none" w:sz="0" w:space="0" w:color="auto"/>
        <w:bottom w:val="none" w:sz="0" w:space="0" w:color="auto"/>
        <w:right w:val="none" w:sz="0" w:space="0" w:color="auto"/>
      </w:divBdr>
    </w:div>
    <w:div w:id="174942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Folder xmlns="fd95457a-1fc1-492c-b0fd-0095e8b1b21d">LHD Agreements</Folder>
    <Notes0 xmlns="fd95457a-1fc1-492c-b0fd-0095e8b1b21d">Annual form update.</Notes0>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5E01717F05D3145AA2FDF04BCD77A5F" ma:contentTypeVersion="10" ma:contentTypeDescription="Create a new document." ma:contentTypeScope="" ma:versionID="dbc292b3ede1481de5def0dd572f78f9">
  <xsd:schema xmlns:xsd="http://www.w3.org/2001/XMLSchema" xmlns:xs="http://www.w3.org/2001/XMLSchema" xmlns:p="http://schemas.microsoft.com/office/2006/metadata/properties" xmlns:ns1="http://schemas.microsoft.com/sharepoint/v3" xmlns:ns2="fd95457a-1fc1-492c-b0fd-0095e8b1b21d" xmlns:ns3="ea8af748-1d0b-4554-b403-23c573964229" targetNamespace="http://schemas.microsoft.com/office/2006/metadata/properties" ma:root="true" ma:fieldsID="95d94592ae78ab4452fcbc1657d9c5af" ns1:_="" ns2:_="" ns3:_="">
    <xsd:import namespace="http://schemas.microsoft.com/sharepoint/v3"/>
    <xsd:import namespace="fd95457a-1fc1-492c-b0fd-0095e8b1b21d"/>
    <xsd:import namespace="ea8af748-1d0b-4554-b403-23c573964229"/>
    <xsd:element name="properties">
      <xsd:complexType>
        <xsd:sequence>
          <xsd:element name="documentManagement">
            <xsd:complexType>
              <xsd:all>
                <xsd:element ref="ns2:MediaServiceMetadata" minOccurs="0"/>
                <xsd:element ref="ns2:MediaServiceFastMetadata" minOccurs="0"/>
                <xsd:element ref="ns2:Folder" minOccurs="0"/>
                <xsd:element ref="ns2:Notes0"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95457a-1fc1-492c-b0fd-0095e8b1b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Folder" ma:index="10" nillable="true" ma:displayName="Folder" ma:internalName="Folder">
      <xsd:simpleType>
        <xsd:restriction base="dms:Text">
          <xsd:maxLength value="255"/>
        </xsd:restriction>
      </xsd:simpleType>
    </xsd:element>
    <xsd:element name="Notes0" ma:index="11" nillable="true" ma:displayName="Notes" ma:internalName="Notes0">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8af748-1d0b-4554-b403-23c57396422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CE8170-ECD1-4690-BCA6-B818D20E23A6}">
  <ds:schemaRefs>
    <ds:schemaRef ds:uri="http://schemas.microsoft.com/office/2006/metadata/properties"/>
    <ds:schemaRef ds:uri="http://schemas.microsoft.com/office/infopath/2007/PartnerControls"/>
    <ds:schemaRef ds:uri="http://schemas.microsoft.com/sharepoint/v3"/>
    <ds:schemaRef ds:uri="fd95457a-1fc1-492c-b0fd-0095e8b1b21d"/>
  </ds:schemaRefs>
</ds:datastoreItem>
</file>

<file path=customXml/itemProps2.xml><?xml version="1.0" encoding="utf-8"?>
<ds:datastoreItem xmlns:ds="http://schemas.openxmlformats.org/officeDocument/2006/customXml" ds:itemID="{64958ACF-2CCC-4ED5-B301-E49A8981F688}">
  <ds:schemaRefs>
    <ds:schemaRef ds:uri="http://schemas.openxmlformats.org/officeDocument/2006/bibliography"/>
  </ds:schemaRefs>
</ds:datastoreItem>
</file>

<file path=customXml/itemProps3.xml><?xml version="1.0" encoding="utf-8"?>
<ds:datastoreItem xmlns:ds="http://schemas.openxmlformats.org/officeDocument/2006/customXml" ds:itemID="{1C131382-B916-42A3-9597-B30ED5318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d95457a-1fc1-492c-b0fd-0095e8b1b21d"/>
    <ds:schemaRef ds:uri="ea8af748-1d0b-4554-b403-23c5739642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B2F32F-7B80-4EEB-9212-C0F866DE7B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3665</Words>
  <Characters>20897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AA Template FY27</vt:lpstr>
    </vt:vector>
  </TitlesOfParts>
  <Company/>
  <LinksUpToDate>false</LinksUpToDate>
  <CharactersWithSpaces>24513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 Template FY27</dc:title>
  <dc:subject/>
  <dc:creator>Gilliatt, Adrienne</dc:creator>
  <cp:keywords/>
  <dc:description/>
  <cp:lastModifiedBy>Karen Davis</cp:lastModifiedBy>
  <cp:revision>2</cp:revision>
  <cp:lastPrinted>2025-10-01T17:27:00Z</cp:lastPrinted>
  <dcterms:created xsi:type="dcterms:W3CDTF">2025-11-17T21:32:00Z</dcterms:created>
  <dcterms:modified xsi:type="dcterms:W3CDTF">2025-11-17T21:32:00Z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0x010100E5E01717F05D3145AA2FDF04BCD77A5F</vt:lpwstr>
  </property>
</Properties>
</file>