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61208" w14:textId="09352926" w:rsidR="009C53EF" w:rsidRDefault="009C53EF" w:rsidP="00395626">
      <w:pPr>
        <w:jc w:val="center"/>
        <w:rPr>
          <w:b/>
          <w:sz w:val="28"/>
          <w:szCs w:val="28"/>
        </w:rPr>
      </w:pPr>
      <w:r w:rsidRPr="00905D9D">
        <w:rPr>
          <w:b/>
          <w:sz w:val="28"/>
          <w:szCs w:val="28"/>
        </w:rPr>
        <w:t xml:space="preserve">Changes for </w:t>
      </w:r>
      <w:r w:rsidR="00A54EC0">
        <w:rPr>
          <w:b/>
          <w:sz w:val="28"/>
          <w:szCs w:val="28"/>
        </w:rPr>
        <w:t>FY2</w:t>
      </w:r>
      <w:r w:rsidR="00282FD7">
        <w:rPr>
          <w:b/>
          <w:sz w:val="28"/>
          <w:szCs w:val="28"/>
        </w:rPr>
        <w:t>7</w:t>
      </w:r>
      <w:r w:rsidR="00A54EC0">
        <w:rPr>
          <w:b/>
          <w:sz w:val="28"/>
          <w:szCs w:val="28"/>
        </w:rPr>
        <w:t xml:space="preserve"> </w:t>
      </w:r>
      <w:r w:rsidR="00395626">
        <w:rPr>
          <w:b/>
          <w:sz w:val="28"/>
          <w:szCs w:val="28"/>
        </w:rPr>
        <w:t>F</w:t>
      </w:r>
      <w:r w:rsidR="00A54EC0">
        <w:rPr>
          <w:b/>
          <w:sz w:val="28"/>
          <w:szCs w:val="28"/>
        </w:rPr>
        <w:t xml:space="preserve">amily </w:t>
      </w:r>
      <w:r w:rsidR="00395626">
        <w:rPr>
          <w:b/>
          <w:sz w:val="28"/>
          <w:szCs w:val="28"/>
        </w:rPr>
        <w:t>P</w:t>
      </w:r>
      <w:r w:rsidR="00A54EC0">
        <w:rPr>
          <w:b/>
          <w:sz w:val="28"/>
          <w:szCs w:val="28"/>
        </w:rPr>
        <w:t>lanning</w:t>
      </w:r>
      <w:r w:rsidR="0039562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A</w:t>
      </w:r>
      <w:r w:rsidR="000F434E">
        <w:rPr>
          <w:b/>
          <w:sz w:val="28"/>
          <w:szCs w:val="28"/>
        </w:rPr>
        <w:t xml:space="preserve">greement </w:t>
      </w:r>
      <w:r>
        <w:rPr>
          <w:b/>
          <w:sz w:val="28"/>
          <w:szCs w:val="28"/>
        </w:rPr>
        <w:t>A</w:t>
      </w:r>
      <w:r w:rsidR="000F434E">
        <w:rPr>
          <w:b/>
          <w:sz w:val="28"/>
          <w:szCs w:val="28"/>
        </w:rPr>
        <w:t>ddenda</w:t>
      </w:r>
      <w:r w:rsidR="00CC44D5">
        <w:rPr>
          <w:b/>
          <w:sz w:val="28"/>
          <w:szCs w:val="28"/>
        </w:rPr>
        <w:t xml:space="preserve"> (Activity 151)</w:t>
      </w:r>
      <w:r w:rsidR="00D83EB7">
        <w:rPr>
          <w:b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horzAnchor="margin" w:tblpY="43"/>
        <w:tblW w:w="14390" w:type="dxa"/>
        <w:tblLook w:val="04A0" w:firstRow="1" w:lastRow="0" w:firstColumn="1" w:lastColumn="0" w:noHBand="0" w:noVBand="1"/>
      </w:tblPr>
      <w:tblGrid>
        <w:gridCol w:w="1585"/>
        <w:gridCol w:w="4980"/>
        <w:gridCol w:w="6030"/>
        <w:gridCol w:w="1795"/>
      </w:tblGrid>
      <w:tr w:rsidR="009712D9" w14:paraId="2EB0C9B4" w14:textId="77777777" w:rsidTr="001E1FAA">
        <w:tc>
          <w:tcPr>
            <w:tcW w:w="1585" w:type="dxa"/>
          </w:tcPr>
          <w:p w14:paraId="10C8BFA0" w14:textId="6C66A1D0" w:rsidR="009712D9" w:rsidRPr="00FB4D11" w:rsidRDefault="009712D9" w:rsidP="00D83EB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FB4D11">
              <w:rPr>
                <w:b/>
                <w:sz w:val="24"/>
                <w:szCs w:val="24"/>
              </w:rPr>
              <w:t>Section</w:t>
            </w:r>
            <w:r>
              <w:rPr>
                <w:b/>
                <w:sz w:val="24"/>
                <w:szCs w:val="24"/>
              </w:rPr>
              <w:t>/page</w:t>
            </w:r>
          </w:p>
        </w:tc>
        <w:tc>
          <w:tcPr>
            <w:tcW w:w="4980" w:type="dxa"/>
          </w:tcPr>
          <w:p w14:paraId="006C1C4B" w14:textId="4F691189" w:rsidR="009712D9" w:rsidRPr="00FB4D11" w:rsidRDefault="009712D9" w:rsidP="00D83EB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 w:rsidRPr="00FB4D11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6030" w:type="dxa"/>
          </w:tcPr>
          <w:p w14:paraId="5129A190" w14:textId="33AB90E1" w:rsidR="009712D9" w:rsidRDefault="009712D9" w:rsidP="00D83EB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Rationale</w:t>
            </w:r>
          </w:p>
        </w:tc>
        <w:tc>
          <w:tcPr>
            <w:tcW w:w="1795" w:type="dxa"/>
          </w:tcPr>
          <w:p w14:paraId="4E862171" w14:textId="03077BEB" w:rsidR="009712D9" w:rsidRPr="00FB4D11" w:rsidRDefault="009712D9" w:rsidP="00D83EB7">
            <w:pPr>
              <w:pStyle w:val="List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New or update</w:t>
            </w:r>
          </w:p>
        </w:tc>
      </w:tr>
      <w:tr w:rsidR="00EA59FF" w14:paraId="34FB9003" w14:textId="77777777" w:rsidTr="005B7184">
        <w:tc>
          <w:tcPr>
            <w:tcW w:w="1585" w:type="dxa"/>
            <w:shd w:val="clear" w:color="auto" w:fill="D9D9D9" w:themeFill="background1" w:themeFillShade="D9"/>
          </w:tcPr>
          <w:p w14:paraId="6EEBFE1E" w14:textId="2D355D7C" w:rsidR="00EA59FF" w:rsidRDefault="00EA59FF" w:rsidP="00D83EB7">
            <w:pPr>
              <w:pStyle w:val="ListParagraph"/>
              <w:ind w:left="0"/>
            </w:pPr>
            <w:r>
              <w:t xml:space="preserve">SOW – </w:t>
            </w:r>
            <w:r w:rsidR="00CC44D5">
              <w:t>Informed Consents pg. 5</w:t>
            </w:r>
          </w:p>
        </w:tc>
        <w:tc>
          <w:tcPr>
            <w:tcW w:w="4980" w:type="dxa"/>
            <w:shd w:val="clear" w:color="auto" w:fill="D9D9D9" w:themeFill="background1" w:themeFillShade="D9"/>
          </w:tcPr>
          <w:p w14:paraId="6E80ADDF" w14:textId="1C842467" w:rsidR="00EA59FF" w:rsidRDefault="00691555" w:rsidP="00D83EB7">
            <w:pPr>
              <w:pStyle w:val="ListParagraph"/>
              <w:ind w:left="0"/>
            </w:pPr>
            <w:r>
              <w:t xml:space="preserve">c. 2. </w:t>
            </w:r>
            <w:r w:rsidR="00CC44D5">
              <w:t xml:space="preserve">Updated </w:t>
            </w:r>
            <w:proofErr w:type="gramStart"/>
            <w:r w:rsidR="00CC44D5">
              <w:t>language</w:t>
            </w:r>
            <w:proofErr w:type="gramEnd"/>
            <w:r w:rsidR="00CC44D5">
              <w:t xml:space="preserve"> </w:t>
            </w:r>
            <w:r w:rsidR="00152875">
              <w:t xml:space="preserve">that method specific consent </w:t>
            </w:r>
            <w:proofErr w:type="gramStart"/>
            <w:r w:rsidR="00152875">
              <w:t>forms</w:t>
            </w:r>
            <w:proofErr w:type="gramEnd"/>
            <w:r w:rsidR="00152875">
              <w:t xml:space="preserve"> are no longer required</w:t>
            </w:r>
            <w:r>
              <w:t xml:space="preserve"> as informed consent for contraception is part of general consent form.</w:t>
            </w:r>
            <w:r w:rsidR="00152875">
              <w:t xml:space="preserve"> </w:t>
            </w:r>
            <w:r>
              <w:t xml:space="preserve">Any local </w:t>
            </w:r>
            <w:r w:rsidR="00152875">
              <w:t xml:space="preserve">health department </w:t>
            </w:r>
            <w:r>
              <w:t xml:space="preserve">choosing to still utilize method specific consents are </w:t>
            </w:r>
            <w:r w:rsidR="00152875">
              <w:t xml:space="preserve">responsible for maintaining </w:t>
            </w:r>
            <w:r>
              <w:t>the forms</w:t>
            </w:r>
            <w:r w:rsidR="00152875">
              <w:t>.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14:paraId="599B3048" w14:textId="30C445AA" w:rsidR="00EA59FF" w:rsidRDefault="00152875" w:rsidP="00D83EB7">
            <w:pPr>
              <w:pStyle w:val="ListParagraph"/>
              <w:ind w:left="0"/>
            </w:pPr>
            <w:r>
              <w:t>Title X discourages method specific consent forms and to include method consent as part of general consent forms.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31982621" w14:textId="4FB65F77" w:rsidR="00EA59FF" w:rsidRDefault="00EA59FF" w:rsidP="00D83EB7">
            <w:pPr>
              <w:pStyle w:val="ListParagraph"/>
              <w:ind w:left="0"/>
            </w:pPr>
            <w:r>
              <w:t>update</w:t>
            </w:r>
          </w:p>
        </w:tc>
      </w:tr>
      <w:tr w:rsidR="00587CF9" w14:paraId="7B7D1A04" w14:textId="77777777" w:rsidTr="00691555">
        <w:tc>
          <w:tcPr>
            <w:tcW w:w="1585" w:type="dxa"/>
            <w:shd w:val="clear" w:color="auto" w:fill="FFFFFF" w:themeFill="background1"/>
          </w:tcPr>
          <w:p w14:paraId="70BF27C6" w14:textId="181CBDA5" w:rsidR="00587CF9" w:rsidRPr="00944BC1" w:rsidRDefault="00E33B42" w:rsidP="00A54EC0">
            <w:pPr>
              <w:rPr>
                <w:sz w:val="20"/>
              </w:rPr>
            </w:pPr>
            <w:r w:rsidRPr="00944BC1">
              <w:rPr>
                <w:sz w:val="20"/>
              </w:rPr>
              <w:t>SOW-</w:t>
            </w:r>
            <w:r w:rsidR="00307991">
              <w:rPr>
                <w:sz w:val="20"/>
              </w:rPr>
              <w:t>Planned Clinic Closures or new clinical sites. Pg.</w:t>
            </w:r>
            <w:r>
              <w:rPr>
                <w:sz w:val="20"/>
              </w:rPr>
              <w:t xml:space="preserve"> 1</w:t>
            </w:r>
            <w:r w:rsidR="00307991">
              <w:rPr>
                <w:sz w:val="20"/>
              </w:rPr>
              <w:t>0</w:t>
            </w:r>
          </w:p>
        </w:tc>
        <w:tc>
          <w:tcPr>
            <w:tcW w:w="4980" w:type="dxa"/>
            <w:shd w:val="clear" w:color="auto" w:fill="FFFFFF" w:themeFill="background1"/>
          </w:tcPr>
          <w:p w14:paraId="7065D196" w14:textId="4DDF8E68" w:rsidR="00587CF9" w:rsidRDefault="00307991" w:rsidP="00EC01F7">
            <w:pPr>
              <w:spacing w:line="240" w:lineRule="auto"/>
            </w:pPr>
            <w:r>
              <w:t xml:space="preserve">m. 3 &amp; 4. If </w:t>
            </w:r>
            <w:proofErr w:type="gramStart"/>
            <w:r>
              <w:t>a LHD</w:t>
            </w:r>
            <w:proofErr w:type="gramEnd"/>
            <w:r>
              <w:t xml:space="preserve"> plans to relocate, the LHD must provide written notice to the Branch at </w:t>
            </w:r>
            <w:r w:rsidR="00691555">
              <w:t xml:space="preserve">least </w:t>
            </w:r>
            <w:r>
              <w:t>45 days in advance.</w:t>
            </w:r>
          </w:p>
        </w:tc>
        <w:tc>
          <w:tcPr>
            <w:tcW w:w="6030" w:type="dxa"/>
            <w:shd w:val="clear" w:color="auto" w:fill="FFFFFF" w:themeFill="background1"/>
          </w:tcPr>
          <w:p w14:paraId="0D264EAC" w14:textId="2BFE6712" w:rsidR="00587CF9" w:rsidRDefault="00307991" w:rsidP="00EC01F7">
            <w:r>
              <w:t xml:space="preserve">This has always been required but has </w:t>
            </w:r>
            <w:r w:rsidR="00691555">
              <w:t>become more common</w:t>
            </w:r>
            <w:r>
              <w:t xml:space="preserve"> recently </w:t>
            </w:r>
            <w:r w:rsidR="00691555">
              <w:t>so decided to make sure it is in writing.</w:t>
            </w:r>
            <w:r>
              <w:t xml:space="preserve"> Any change to location needs </w:t>
            </w:r>
            <w:proofErr w:type="gramStart"/>
            <w:r>
              <w:t>submitted</w:t>
            </w:r>
            <w:proofErr w:type="gramEnd"/>
            <w:r>
              <w:t xml:space="preserve"> to Title X as a change of scope and approved by them prior to the move.</w:t>
            </w:r>
          </w:p>
        </w:tc>
        <w:tc>
          <w:tcPr>
            <w:tcW w:w="1795" w:type="dxa"/>
            <w:shd w:val="clear" w:color="auto" w:fill="FFFFFF" w:themeFill="background1"/>
          </w:tcPr>
          <w:p w14:paraId="11A4D49C" w14:textId="07E97C94" w:rsidR="00587CF9" w:rsidRDefault="00E33B42" w:rsidP="00D83EB7">
            <w:pPr>
              <w:pStyle w:val="ListParagraph"/>
              <w:ind w:left="0"/>
            </w:pPr>
            <w:r>
              <w:t>New</w:t>
            </w:r>
          </w:p>
        </w:tc>
      </w:tr>
      <w:tr w:rsidR="009712D9" w14:paraId="32537D06" w14:textId="77777777" w:rsidTr="00691555">
        <w:tc>
          <w:tcPr>
            <w:tcW w:w="1585" w:type="dxa"/>
            <w:shd w:val="clear" w:color="auto" w:fill="D9D9D9" w:themeFill="background1" w:themeFillShade="D9"/>
          </w:tcPr>
          <w:p w14:paraId="1CFF1883" w14:textId="3137CE3E" w:rsidR="009712D9" w:rsidRPr="00FB4D11" w:rsidRDefault="005A774C" w:rsidP="00A54EC0">
            <w:r>
              <w:rPr>
                <w:sz w:val="20"/>
              </w:rPr>
              <w:t>SOW – Quality Improvement pg. 11</w:t>
            </w:r>
          </w:p>
        </w:tc>
        <w:tc>
          <w:tcPr>
            <w:tcW w:w="4980" w:type="dxa"/>
            <w:shd w:val="clear" w:color="auto" w:fill="D9D9D9" w:themeFill="background1" w:themeFillShade="D9"/>
          </w:tcPr>
          <w:p w14:paraId="015C2379" w14:textId="5E0FB7EB" w:rsidR="009712D9" w:rsidRPr="00FB4D11" w:rsidRDefault="005A774C" w:rsidP="005A774C">
            <w:pPr>
              <w:spacing w:line="240" w:lineRule="auto"/>
            </w:pPr>
            <w:r>
              <w:t>2. Updated to provide option of completing Patient Experience Survey OR Patient Satisfaction Survey</w:t>
            </w:r>
          </w:p>
        </w:tc>
        <w:tc>
          <w:tcPr>
            <w:tcW w:w="6030" w:type="dxa"/>
            <w:shd w:val="clear" w:color="auto" w:fill="D9D9D9" w:themeFill="background1" w:themeFillShade="D9"/>
          </w:tcPr>
          <w:p w14:paraId="3DB7827E" w14:textId="37498181" w:rsidR="00561D4F" w:rsidRDefault="005A774C" w:rsidP="00E33B42">
            <w:r>
              <w:t>Updated language to provide details on the option of choosing how to survey patients on satisfaction/experience during their FP visits</w:t>
            </w:r>
          </w:p>
        </w:tc>
        <w:tc>
          <w:tcPr>
            <w:tcW w:w="1795" w:type="dxa"/>
            <w:shd w:val="clear" w:color="auto" w:fill="D9D9D9" w:themeFill="background1" w:themeFillShade="D9"/>
          </w:tcPr>
          <w:p w14:paraId="46C9902E" w14:textId="17927E99" w:rsidR="009712D9" w:rsidRPr="00FB4D11" w:rsidRDefault="00E33B42" w:rsidP="00D83EB7">
            <w:pPr>
              <w:pStyle w:val="ListParagraph"/>
              <w:ind w:left="0"/>
            </w:pPr>
            <w:r>
              <w:t>update</w:t>
            </w:r>
          </w:p>
        </w:tc>
      </w:tr>
      <w:tr w:rsidR="001E1FAA" w14:paraId="3433754A" w14:textId="77777777" w:rsidTr="00691555">
        <w:trPr>
          <w:trHeight w:val="842"/>
        </w:trPr>
        <w:tc>
          <w:tcPr>
            <w:tcW w:w="1585" w:type="dxa"/>
            <w:shd w:val="clear" w:color="auto" w:fill="FFFFFF" w:themeFill="background1"/>
          </w:tcPr>
          <w:p w14:paraId="75B4CE3D" w14:textId="76831990" w:rsidR="001E1FAA" w:rsidRPr="00944BC1" w:rsidRDefault="00E33B42" w:rsidP="00FB4D11">
            <w:pPr>
              <w:rPr>
                <w:sz w:val="20"/>
              </w:rPr>
            </w:pPr>
            <w:r>
              <w:rPr>
                <w:sz w:val="20"/>
              </w:rPr>
              <w:t xml:space="preserve">Perf. Measures </w:t>
            </w:r>
            <w:r w:rsidR="005A774C">
              <w:rPr>
                <w:sz w:val="20"/>
              </w:rPr>
              <w:t>Reporting Requirements via Smartsheet</w:t>
            </w:r>
            <w:r w:rsidR="001130B4">
              <w:rPr>
                <w:sz w:val="20"/>
              </w:rPr>
              <w:t xml:space="preserve"> </w:t>
            </w:r>
            <w:r>
              <w:rPr>
                <w:sz w:val="20"/>
              </w:rPr>
              <w:t>pg. 1</w:t>
            </w:r>
            <w:r w:rsidR="005A774C">
              <w:rPr>
                <w:sz w:val="20"/>
              </w:rPr>
              <w:t>2</w:t>
            </w:r>
          </w:p>
        </w:tc>
        <w:tc>
          <w:tcPr>
            <w:tcW w:w="4980" w:type="dxa"/>
            <w:shd w:val="clear" w:color="auto" w:fill="FFFFFF" w:themeFill="background1"/>
          </w:tcPr>
          <w:p w14:paraId="3458E42F" w14:textId="75097BE7" w:rsidR="001E1FAA" w:rsidRDefault="001130B4" w:rsidP="00E33B42">
            <w:r>
              <w:t>2.</w:t>
            </w:r>
            <w:r w:rsidR="00E33B42">
              <w:t>a.</w:t>
            </w:r>
            <w:r w:rsidR="005A774C">
              <w:t xml:space="preserve"> &amp; b</w:t>
            </w:r>
            <w:r w:rsidR="00E33B42">
              <w:t xml:space="preserve">. </w:t>
            </w:r>
            <w:r w:rsidR="00691555">
              <w:t>Added</w:t>
            </w:r>
            <w:r w:rsidR="00E33B42">
              <w:t xml:space="preserve"> the </w:t>
            </w:r>
            <w:r w:rsidR="005A774C">
              <w:t xml:space="preserve">reporting of monthly financial reports and quarterly impact </w:t>
            </w:r>
            <w:r w:rsidR="00691555">
              <w:t>story statements</w:t>
            </w:r>
            <w:r w:rsidR="005A774C">
              <w:t>.</w:t>
            </w:r>
          </w:p>
        </w:tc>
        <w:tc>
          <w:tcPr>
            <w:tcW w:w="6030" w:type="dxa"/>
            <w:shd w:val="clear" w:color="auto" w:fill="FFFFFF" w:themeFill="background1"/>
          </w:tcPr>
          <w:p w14:paraId="5136B9D0" w14:textId="3E869891" w:rsidR="001E1FAA" w:rsidRDefault="005A774C" w:rsidP="0036747E">
            <w:pPr>
              <w:pStyle w:val="ListParagraph"/>
              <w:ind w:left="0"/>
            </w:pPr>
            <w:r>
              <w:t>Added monthly financial reports and quarterly impact statements to meet Division of Public Health requirement across all AAs starting FY27.</w:t>
            </w:r>
          </w:p>
        </w:tc>
        <w:tc>
          <w:tcPr>
            <w:tcW w:w="1795" w:type="dxa"/>
            <w:shd w:val="clear" w:color="auto" w:fill="FFFFFF" w:themeFill="background1"/>
          </w:tcPr>
          <w:p w14:paraId="3B833921" w14:textId="3DE1844F" w:rsidR="001E1FAA" w:rsidRDefault="005A774C" w:rsidP="0036747E">
            <w:pPr>
              <w:pStyle w:val="ListParagraph"/>
              <w:ind w:left="0"/>
            </w:pPr>
            <w:r>
              <w:t>New</w:t>
            </w:r>
          </w:p>
        </w:tc>
      </w:tr>
    </w:tbl>
    <w:p w14:paraId="29698FF2" w14:textId="54A9575D" w:rsidR="00AD11A5" w:rsidRDefault="00AD11A5" w:rsidP="0082615A">
      <w:pPr>
        <w:pStyle w:val="ListParagraph"/>
      </w:pPr>
    </w:p>
    <w:sectPr w:rsidR="00AD11A5" w:rsidSect="00944BC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2B14"/>
    <w:multiLevelType w:val="hybridMultilevel"/>
    <w:tmpl w:val="962ED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D2FE5"/>
    <w:multiLevelType w:val="hybridMultilevel"/>
    <w:tmpl w:val="AFC828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1216"/>
    <w:multiLevelType w:val="hybridMultilevel"/>
    <w:tmpl w:val="F9223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35DC4"/>
    <w:multiLevelType w:val="hybridMultilevel"/>
    <w:tmpl w:val="CA4A1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C2B48"/>
    <w:multiLevelType w:val="hybridMultilevel"/>
    <w:tmpl w:val="E5660C7C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D4A97"/>
    <w:multiLevelType w:val="hybridMultilevel"/>
    <w:tmpl w:val="314A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45FF6"/>
    <w:multiLevelType w:val="hybridMultilevel"/>
    <w:tmpl w:val="73D65AD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703B7C"/>
    <w:multiLevelType w:val="hybridMultilevel"/>
    <w:tmpl w:val="47E69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C733C"/>
    <w:multiLevelType w:val="hybridMultilevel"/>
    <w:tmpl w:val="20B66046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DAEACE66">
      <w:start w:val="2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 w15:restartNumberingAfterBreak="0">
    <w:nsid w:val="5A8B5B08"/>
    <w:multiLevelType w:val="hybridMultilevel"/>
    <w:tmpl w:val="DB18AC64"/>
    <w:lvl w:ilvl="0" w:tplc="45F8A2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77E3C"/>
    <w:multiLevelType w:val="hybridMultilevel"/>
    <w:tmpl w:val="E08E3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F5A42"/>
    <w:multiLevelType w:val="hybridMultilevel"/>
    <w:tmpl w:val="0428B8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56591C"/>
    <w:multiLevelType w:val="hybridMultilevel"/>
    <w:tmpl w:val="5A18D1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A72CF"/>
    <w:multiLevelType w:val="hybridMultilevel"/>
    <w:tmpl w:val="89701270"/>
    <w:lvl w:ilvl="0" w:tplc="95B006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0768652">
    <w:abstractNumId w:val="2"/>
  </w:num>
  <w:num w:numId="2" w16cid:durableId="2120876479">
    <w:abstractNumId w:val="11"/>
  </w:num>
  <w:num w:numId="3" w16cid:durableId="1235747417">
    <w:abstractNumId w:val="1"/>
  </w:num>
  <w:num w:numId="4" w16cid:durableId="403576880">
    <w:abstractNumId w:val="6"/>
  </w:num>
  <w:num w:numId="5" w16cid:durableId="1805006716">
    <w:abstractNumId w:val="8"/>
  </w:num>
  <w:num w:numId="6" w16cid:durableId="329141986">
    <w:abstractNumId w:val="3"/>
  </w:num>
  <w:num w:numId="7" w16cid:durableId="284431853">
    <w:abstractNumId w:val="9"/>
  </w:num>
  <w:num w:numId="8" w16cid:durableId="2014334553">
    <w:abstractNumId w:val="13"/>
  </w:num>
  <w:num w:numId="9" w16cid:durableId="1610627951">
    <w:abstractNumId w:val="0"/>
  </w:num>
  <w:num w:numId="10" w16cid:durableId="143593259">
    <w:abstractNumId w:val="5"/>
  </w:num>
  <w:num w:numId="11" w16cid:durableId="643701774">
    <w:abstractNumId w:val="10"/>
  </w:num>
  <w:num w:numId="12" w16cid:durableId="1364284103">
    <w:abstractNumId w:val="4"/>
  </w:num>
  <w:num w:numId="13" w16cid:durableId="886139017">
    <w:abstractNumId w:val="7"/>
  </w:num>
  <w:num w:numId="14" w16cid:durableId="19333177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EF"/>
    <w:rsid w:val="00006677"/>
    <w:rsid w:val="000451BE"/>
    <w:rsid w:val="00075D0C"/>
    <w:rsid w:val="000C28BA"/>
    <w:rsid w:val="000D34A9"/>
    <w:rsid w:val="000D66D6"/>
    <w:rsid w:val="000E26C0"/>
    <w:rsid w:val="000F434E"/>
    <w:rsid w:val="001130B4"/>
    <w:rsid w:val="00152875"/>
    <w:rsid w:val="00160E76"/>
    <w:rsid w:val="0017432D"/>
    <w:rsid w:val="001C1213"/>
    <w:rsid w:val="001D6200"/>
    <w:rsid w:val="001E1FAA"/>
    <w:rsid w:val="00224A29"/>
    <w:rsid w:val="002376FA"/>
    <w:rsid w:val="00262476"/>
    <w:rsid w:val="00282FD7"/>
    <w:rsid w:val="002C512D"/>
    <w:rsid w:val="002D7229"/>
    <w:rsid w:val="002F2B55"/>
    <w:rsid w:val="00307951"/>
    <w:rsid w:val="00307991"/>
    <w:rsid w:val="0036747E"/>
    <w:rsid w:val="00395626"/>
    <w:rsid w:val="003A02BF"/>
    <w:rsid w:val="003C0449"/>
    <w:rsid w:val="003C0E86"/>
    <w:rsid w:val="003C6006"/>
    <w:rsid w:val="003D6106"/>
    <w:rsid w:val="003E75BD"/>
    <w:rsid w:val="00420C63"/>
    <w:rsid w:val="004217D8"/>
    <w:rsid w:val="004320F1"/>
    <w:rsid w:val="004357C6"/>
    <w:rsid w:val="004A7D81"/>
    <w:rsid w:val="004B13A7"/>
    <w:rsid w:val="004D633E"/>
    <w:rsid w:val="004E2424"/>
    <w:rsid w:val="004E425E"/>
    <w:rsid w:val="004F07CD"/>
    <w:rsid w:val="00501A87"/>
    <w:rsid w:val="00505562"/>
    <w:rsid w:val="00531D7E"/>
    <w:rsid w:val="00550CBB"/>
    <w:rsid w:val="00561D4F"/>
    <w:rsid w:val="00576D34"/>
    <w:rsid w:val="00582F43"/>
    <w:rsid w:val="00587CF9"/>
    <w:rsid w:val="005A71F5"/>
    <w:rsid w:val="005A774C"/>
    <w:rsid w:val="005B7184"/>
    <w:rsid w:val="005C5A0A"/>
    <w:rsid w:val="00691555"/>
    <w:rsid w:val="006B5A8A"/>
    <w:rsid w:val="00743134"/>
    <w:rsid w:val="007504D1"/>
    <w:rsid w:val="00762371"/>
    <w:rsid w:val="00793FBB"/>
    <w:rsid w:val="007B3A0C"/>
    <w:rsid w:val="007C4B95"/>
    <w:rsid w:val="007C6EC0"/>
    <w:rsid w:val="007E2985"/>
    <w:rsid w:val="008243FD"/>
    <w:rsid w:val="0082615A"/>
    <w:rsid w:val="008640DA"/>
    <w:rsid w:val="00890D43"/>
    <w:rsid w:val="008C41C2"/>
    <w:rsid w:val="008F232E"/>
    <w:rsid w:val="008F2FDA"/>
    <w:rsid w:val="00910760"/>
    <w:rsid w:val="009114EE"/>
    <w:rsid w:val="009126A6"/>
    <w:rsid w:val="0092205A"/>
    <w:rsid w:val="009442F7"/>
    <w:rsid w:val="00944BC1"/>
    <w:rsid w:val="00945423"/>
    <w:rsid w:val="009712D9"/>
    <w:rsid w:val="009C37FC"/>
    <w:rsid w:val="009C53EF"/>
    <w:rsid w:val="009C6417"/>
    <w:rsid w:val="009E00E3"/>
    <w:rsid w:val="009E6C07"/>
    <w:rsid w:val="00A359EA"/>
    <w:rsid w:val="00A46000"/>
    <w:rsid w:val="00A4683F"/>
    <w:rsid w:val="00A54EC0"/>
    <w:rsid w:val="00AA260A"/>
    <w:rsid w:val="00AC0B0B"/>
    <w:rsid w:val="00AC19F1"/>
    <w:rsid w:val="00AD11A5"/>
    <w:rsid w:val="00AD604F"/>
    <w:rsid w:val="00AE656D"/>
    <w:rsid w:val="00B0740C"/>
    <w:rsid w:val="00B148A8"/>
    <w:rsid w:val="00B34257"/>
    <w:rsid w:val="00B37E8F"/>
    <w:rsid w:val="00B50CBE"/>
    <w:rsid w:val="00B767E0"/>
    <w:rsid w:val="00B77D3C"/>
    <w:rsid w:val="00B96F7B"/>
    <w:rsid w:val="00BB3235"/>
    <w:rsid w:val="00BE1771"/>
    <w:rsid w:val="00BE7FEB"/>
    <w:rsid w:val="00C3095B"/>
    <w:rsid w:val="00C64975"/>
    <w:rsid w:val="00C90B8D"/>
    <w:rsid w:val="00CC1861"/>
    <w:rsid w:val="00CC44D5"/>
    <w:rsid w:val="00CF7870"/>
    <w:rsid w:val="00D051FB"/>
    <w:rsid w:val="00D116D4"/>
    <w:rsid w:val="00D83EB7"/>
    <w:rsid w:val="00D96D89"/>
    <w:rsid w:val="00D9782E"/>
    <w:rsid w:val="00DB45AD"/>
    <w:rsid w:val="00DB4871"/>
    <w:rsid w:val="00E206A2"/>
    <w:rsid w:val="00E31A8C"/>
    <w:rsid w:val="00E32007"/>
    <w:rsid w:val="00E33B42"/>
    <w:rsid w:val="00E7339E"/>
    <w:rsid w:val="00E87BFE"/>
    <w:rsid w:val="00EA59FF"/>
    <w:rsid w:val="00EB7F61"/>
    <w:rsid w:val="00EC01F7"/>
    <w:rsid w:val="00ED2B3B"/>
    <w:rsid w:val="00EF3288"/>
    <w:rsid w:val="00F042BF"/>
    <w:rsid w:val="00F151CB"/>
    <w:rsid w:val="00F2049F"/>
    <w:rsid w:val="00F40294"/>
    <w:rsid w:val="00F603A6"/>
    <w:rsid w:val="00F679DF"/>
    <w:rsid w:val="00F705A5"/>
    <w:rsid w:val="00F70DB4"/>
    <w:rsid w:val="00F77433"/>
    <w:rsid w:val="00F8652A"/>
    <w:rsid w:val="00F86530"/>
    <w:rsid w:val="00FA7359"/>
    <w:rsid w:val="00FB4D11"/>
    <w:rsid w:val="00FF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9F4B4"/>
  <w15:docId w15:val="{C8F56393-2B6A-4990-BD1C-95AD21ADE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3E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23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2371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D83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6747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36747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C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C0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43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3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3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F43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0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50FB4-7F0B-42F3-8055-CD0704982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Farb, Debbie</dc:creator>
  <cp:keywords/>
  <dc:description/>
  <cp:lastModifiedBy>Carroll, Kristen</cp:lastModifiedBy>
  <cp:revision>7</cp:revision>
  <cp:lastPrinted>2018-08-20T13:46:00Z</cp:lastPrinted>
  <dcterms:created xsi:type="dcterms:W3CDTF">2025-09-17T18:51:00Z</dcterms:created>
  <dcterms:modified xsi:type="dcterms:W3CDTF">2025-10-20T18:42:00Z</dcterms:modified>
</cp:coreProperties>
</file>